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7587A" w14:textId="6D94F440" w:rsidR="00F777AD" w:rsidRPr="00991C07" w:rsidRDefault="00991C07" w:rsidP="00991C07">
      <w:pPr>
        <w:jc w:val="center"/>
        <w:rPr>
          <w:rFonts w:ascii="Times New Roman" w:eastAsia="MS Mincho" w:hAnsi="Times New Roman" w:cs="Times New Roman"/>
          <w:b/>
          <w:bCs/>
          <w:noProof/>
          <w:sz w:val="28"/>
          <w:szCs w:val="28"/>
        </w:rPr>
      </w:pPr>
      <w:r w:rsidRPr="00991C07">
        <w:rPr>
          <w:rFonts w:ascii="Times New Roman" w:eastAsia="MS Mincho" w:hAnsi="Times New Roman" w:cs="Times New Roman"/>
          <w:b/>
          <w:bCs/>
          <w:noProof/>
          <w:sz w:val="28"/>
          <w:szCs w:val="28"/>
        </w:rPr>
        <w:t>The Mediating Role of Job Satisfaction in the Relationship Between Core Self-Evaluations and Organizational Commitment: Evidence from Non-Governmental Organizations in Quetta, Pakistan</w:t>
      </w:r>
    </w:p>
    <w:p w14:paraId="6EFA2313" w14:textId="77777777" w:rsidR="0047692A" w:rsidRDefault="0047692A" w:rsidP="0047692A">
      <w:pPr>
        <w:pStyle w:val="Author"/>
        <w:spacing w:before="0" w:after="0"/>
        <w:jc w:val="left"/>
        <w:rPr>
          <w:b/>
          <w:sz w:val="24"/>
          <w:szCs w:val="24"/>
        </w:rPr>
      </w:pPr>
    </w:p>
    <w:p w14:paraId="74575773" w14:textId="77777777" w:rsidR="00991C07" w:rsidRPr="00991C07" w:rsidRDefault="00991C07" w:rsidP="00991C07">
      <w:pPr>
        <w:pStyle w:val="Author"/>
        <w:spacing w:before="0" w:after="0"/>
        <w:jc w:val="left"/>
        <w:rPr>
          <w:b/>
          <w:sz w:val="24"/>
          <w:szCs w:val="24"/>
        </w:rPr>
      </w:pPr>
      <w:r w:rsidRPr="00991C07">
        <w:rPr>
          <w:b/>
          <w:sz w:val="24"/>
          <w:szCs w:val="24"/>
        </w:rPr>
        <w:t>Dr Abdul Wahid Zehri (Corresponding author)</w:t>
      </w:r>
    </w:p>
    <w:p w14:paraId="55C2BCE7" w14:textId="77777777" w:rsidR="00991C07" w:rsidRPr="00991C07" w:rsidRDefault="00991C07" w:rsidP="00991C07">
      <w:pPr>
        <w:pStyle w:val="Author"/>
        <w:spacing w:before="0" w:after="0"/>
        <w:jc w:val="left"/>
        <w:rPr>
          <w:bCs/>
          <w:sz w:val="24"/>
          <w:szCs w:val="24"/>
        </w:rPr>
      </w:pPr>
      <w:r w:rsidRPr="00991C07">
        <w:rPr>
          <w:bCs/>
          <w:sz w:val="24"/>
          <w:szCs w:val="24"/>
        </w:rPr>
        <w:t xml:space="preserve">Institute of Management Sciences, University of Balochistan, Quetta, Pakistan </w:t>
      </w:r>
    </w:p>
    <w:p w14:paraId="2AD5D9F0" w14:textId="77777777" w:rsidR="00991C07" w:rsidRPr="00991C07" w:rsidRDefault="00991C07" w:rsidP="00991C07">
      <w:pPr>
        <w:pStyle w:val="Author"/>
        <w:spacing w:before="0" w:after="0"/>
        <w:jc w:val="left"/>
        <w:rPr>
          <w:bCs/>
          <w:sz w:val="24"/>
          <w:szCs w:val="24"/>
        </w:rPr>
      </w:pPr>
      <w:r w:rsidRPr="00991C07">
        <w:rPr>
          <w:bCs/>
          <w:sz w:val="24"/>
          <w:szCs w:val="24"/>
        </w:rPr>
        <w:t xml:space="preserve">Email: </w:t>
      </w:r>
      <w:hyperlink r:id="rId8" w:history="1">
        <w:r w:rsidRPr="00991C07">
          <w:rPr>
            <w:rStyle w:val="Hyperlink"/>
            <w:bCs/>
            <w:sz w:val="24"/>
            <w:szCs w:val="24"/>
          </w:rPr>
          <w:t>zehri70@gmail.com</w:t>
        </w:r>
      </w:hyperlink>
    </w:p>
    <w:p w14:paraId="691694DE" w14:textId="77777777" w:rsidR="00991C07" w:rsidRPr="00991C07" w:rsidRDefault="00991C07" w:rsidP="00991C07">
      <w:pPr>
        <w:pStyle w:val="Author"/>
        <w:spacing w:before="0" w:after="0"/>
        <w:jc w:val="left"/>
        <w:rPr>
          <w:b/>
          <w:sz w:val="24"/>
          <w:szCs w:val="24"/>
        </w:rPr>
      </w:pPr>
    </w:p>
    <w:p w14:paraId="2259E9D5" w14:textId="77777777" w:rsidR="00991C07" w:rsidRPr="00991C07" w:rsidRDefault="00991C07" w:rsidP="00991C07">
      <w:pPr>
        <w:pStyle w:val="Author"/>
        <w:spacing w:before="0" w:after="0"/>
        <w:jc w:val="left"/>
        <w:rPr>
          <w:b/>
          <w:sz w:val="24"/>
          <w:szCs w:val="24"/>
        </w:rPr>
      </w:pPr>
      <w:r w:rsidRPr="00991C07">
        <w:rPr>
          <w:b/>
          <w:sz w:val="24"/>
          <w:szCs w:val="24"/>
        </w:rPr>
        <w:t>Naseem Ahmed Kanhar</w:t>
      </w:r>
    </w:p>
    <w:p w14:paraId="6E6C5A68" w14:textId="77777777" w:rsidR="00991C07" w:rsidRPr="00991C07" w:rsidRDefault="00991C07" w:rsidP="00991C07">
      <w:pPr>
        <w:pStyle w:val="Author"/>
        <w:spacing w:before="0" w:after="0"/>
        <w:jc w:val="left"/>
        <w:rPr>
          <w:bCs/>
          <w:sz w:val="24"/>
          <w:szCs w:val="24"/>
        </w:rPr>
      </w:pPr>
      <w:r w:rsidRPr="00991C07">
        <w:rPr>
          <w:bCs/>
          <w:sz w:val="24"/>
          <w:szCs w:val="24"/>
        </w:rPr>
        <w:t>Lecturer in Commerce BPS-17 Govt. Boys Degree College Pir Jo Goth.</w:t>
      </w:r>
    </w:p>
    <w:p w14:paraId="4DD5334E" w14:textId="77777777" w:rsidR="00991C07" w:rsidRPr="00991C07" w:rsidRDefault="00991C07" w:rsidP="00991C07">
      <w:pPr>
        <w:pStyle w:val="Author"/>
        <w:spacing w:before="0" w:after="0"/>
        <w:jc w:val="left"/>
        <w:rPr>
          <w:bCs/>
          <w:sz w:val="24"/>
          <w:szCs w:val="24"/>
        </w:rPr>
      </w:pPr>
      <w:r w:rsidRPr="00991C07">
        <w:rPr>
          <w:bCs/>
          <w:sz w:val="24"/>
          <w:szCs w:val="24"/>
        </w:rPr>
        <w:t xml:space="preserve">Email: </w:t>
      </w:r>
      <w:hyperlink r:id="rId9" w:history="1">
        <w:r w:rsidRPr="00991C07">
          <w:rPr>
            <w:rStyle w:val="Hyperlink"/>
            <w:bCs/>
            <w:sz w:val="24"/>
            <w:szCs w:val="24"/>
          </w:rPr>
          <w:t>nasim.ahmed01@gmail.com</w:t>
        </w:r>
      </w:hyperlink>
      <w:r w:rsidRPr="00991C07">
        <w:rPr>
          <w:bCs/>
          <w:sz w:val="24"/>
          <w:szCs w:val="24"/>
        </w:rPr>
        <w:t xml:space="preserve"> </w:t>
      </w:r>
    </w:p>
    <w:p w14:paraId="071E03FE" w14:textId="77777777" w:rsidR="00991C07" w:rsidRPr="00991C07" w:rsidRDefault="00991C07" w:rsidP="00991C07">
      <w:pPr>
        <w:pStyle w:val="Author"/>
        <w:spacing w:before="0" w:after="0"/>
        <w:jc w:val="left"/>
        <w:rPr>
          <w:b/>
          <w:sz w:val="24"/>
          <w:szCs w:val="24"/>
        </w:rPr>
      </w:pPr>
    </w:p>
    <w:p w14:paraId="258BD3C8" w14:textId="77777777" w:rsidR="00991C07" w:rsidRPr="00991C07" w:rsidRDefault="00991C07" w:rsidP="00991C07">
      <w:pPr>
        <w:pStyle w:val="Author"/>
        <w:spacing w:before="0" w:after="0"/>
        <w:jc w:val="left"/>
        <w:rPr>
          <w:b/>
          <w:sz w:val="24"/>
          <w:szCs w:val="24"/>
        </w:rPr>
      </w:pPr>
      <w:r w:rsidRPr="00991C07">
        <w:rPr>
          <w:b/>
          <w:sz w:val="24"/>
          <w:szCs w:val="24"/>
        </w:rPr>
        <w:t xml:space="preserve">Dr Irfan Ahmed Lashari </w:t>
      </w:r>
    </w:p>
    <w:p w14:paraId="00487574" w14:textId="77777777" w:rsidR="00991C07" w:rsidRPr="00991C07" w:rsidRDefault="00991C07" w:rsidP="00991C07">
      <w:pPr>
        <w:pStyle w:val="Author"/>
        <w:spacing w:before="0" w:after="0"/>
        <w:jc w:val="left"/>
        <w:rPr>
          <w:bCs/>
          <w:sz w:val="24"/>
          <w:szCs w:val="24"/>
        </w:rPr>
      </w:pPr>
      <w:r w:rsidRPr="00991C07">
        <w:rPr>
          <w:bCs/>
          <w:sz w:val="24"/>
          <w:szCs w:val="24"/>
        </w:rPr>
        <w:t>Department of Public Administration Khairpur Mirs, Sindh Pakistan</w:t>
      </w:r>
    </w:p>
    <w:p w14:paraId="76CE95CA" w14:textId="77777777" w:rsidR="00991C07" w:rsidRPr="00991C07" w:rsidRDefault="00991C07" w:rsidP="00991C07">
      <w:pPr>
        <w:pStyle w:val="Author"/>
        <w:spacing w:before="0" w:after="0"/>
        <w:jc w:val="left"/>
        <w:rPr>
          <w:bCs/>
          <w:sz w:val="24"/>
          <w:szCs w:val="24"/>
        </w:rPr>
      </w:pPr>
      <w:hyperlink r:id="rId10" w:history="1">
        <w:r w:rsidRPr="00991C07">
          <w:rPr>
            <w:rStyle w:val="Hyperlink"/>
            <w:bCs/>
            <w:sz w:val="24"/>
            <w:szCs w:val="24"/>
          </w:rPr>
          <w:t>Irfan.lashari@salu.edu.pk</w:t>
        </w:r>
      </w:hyperlink>
    </w:p>
    <w:p w14:paraId="6E555E7E" w14:textId="77777777" w:rsidR="00991C07" w:rsidRPr="00991C07" w:rsidRDefault="00991C07" w:rsidP="00991C07">
      <w:pPr>
        <w:pStyle w:val="Author"/>
        <w:spacing w:before="0" w:after="0"/>
        <w:jc w:val="left"/>
        <w:rPr>
          <w:b/>
          <w:sz w:val="24"/>
          <w:szCs w:val="24"/>
        </w:rPr>
      </w:pPr>
    </w:p>
    <w:p w14:paraId="5C16F697" w14:textId="77777777" w:rsidR="00991C07" w:rsidRPr="00991C07" w:rsidRDefault="00991C07" w:rsidP="00991C07">
      <w:pPr>
        <w:pStyle w:val="Author"/>
        <w:spacing w:before="0" w:after="0"/>
        <w:jc w:val="left"/>
        <w:rPr>
          <w:b/>
          <w:sz w:val="24"/>
          <w:szCs w:val="24"/>
        </w:rPr>
      </w:pPr>
      <w:r w:rsidRPr="00991C07">
        <w:rPr>
          <w:b/>
          <w:sz w:val="24"/>
          <w:szCs w:val="24"/>
        </w:rPr>
        <w:t>Dr Shoukat Ali Mahar</w:t>
      </w:r>
    </w:p>
    <w:p w14:paraId="77FEF191" w14:textId="77777777" w:rsidR="00991C07" w:rsidRDefault="00991C07" w:rsidP="00991C07">
      <w:pPr>
        <w:pStyle w:val="Author"/>
        <w:spacing w:before="0" w:after="0"/>
        <w:jc w:val="left"/>
        <w:rPr>
          <w:bCs/>
          <w:sz w:val="24"/>
          <w:szCs w:val="24"/>
        </w:rPr>
      </w:pPr>
      <w:r w:rsidRPr="00991C07">
        <w:rPr>
          <w:bCs/>
          <w:sz w:val="24"/>
          <w:szCs w:val="24"/>
        </w:rPr>
        <w:t>Department of Public Administration Khairpur Mirs, Sindh Pakistan</w:t>
      </w:r>
    </w:p>
    <w:p w14:paraId="70E5A11F" w14:textId="77777777" w:rsidR="00991C07" w:rsidRPr="00991C07" w:rsidRDefault="00991C07" w:rsidP="00991C07">
      <w:pPr>
        <w:pStyle w:val="Author"/>
        <w:spacing w:before="0" w:after="0"/>
        <w:jc w:val="left"/>
        <w:rPr>
          <w:bCs/>
          <w:sz w:val="24"/>
          <w:szCs w:val="24"/>
        </w:rPr>
      </w:pPr>
      <w:r>
        <w:rPr>
          <w:bCs/>
          <w:sz w:val="24"/>
          <w:szCs w:val="24"/>
        </w:rPr>
        <w:t xml:space="preserve">Email: </w:t>
      </w:r>
      <w:r w:rsidRPr="00991C07">
        <w:rPr>
          <w:bCs/>
          <w:sz w:val="24"/>
          <w:szCs w:val="24"/>
        </w:rPr>
        <w:t xml:space="preserve">   </w:t>
      </w:r>
      <w:hyperlink r:id="rId11" w:history="1">
        <w:r w:rsidRPr="00991C07">
          <w:rPr>
            <w:rStyle w:val="Hyperlink"/>
            <w:bCs/>
            <w:sz w:val="24"/>
            <w:szCs w:val="24"/>
          </w:rPr>
          <w:t>shoukat.mahar@salu.edu.pk</w:t>
        </w:r>
      </w:hyperlink>
    </w:p>
    <w:p w14:paraId="6AFE8068" w14:textId="34631FFE" w:rsidR="00991C07" w:rsidRPr="00991C07" w:rsidRDefault="00991C07" w:rsidP="00991C07">
      <w:pPr>
        <w:pStyle w:val="Author"/>
        <w:spacing w:before="0" w:after="0"/>
        <w:jc w:val="left"/>
        <w:rPr>
          <w:bCs/>
          <w:sz w:val="24"/>
          <w:szCs w:val="24"/>
        </w:rPr>
      </w:pPr>
    </w:p>
    <w:p w14:paraId="74B69E86" w14:textId="77777777" w:rsidR="00424F74" w:rsidRPr="00ED4FC8" w:rsidRDefault="00371977">
      <w:pPr>
        <w:rPr>
          <w:rStyle w:val="Hyperlink"/>
          <w:rFonts w:ascii="Times New Roman" w:hAnsi="Times New Roman" w:cs="Times New Roman"/>
          <w:sz w:val="24"/>
          <w:szCs w:val="24"/>
        </w:rPr>
      </w:pPr>
      <w:r w:rsidRPr="00ED4FC8">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58FA0AF3" wp14:editId="0B82F10F">
                <wp:simplePos x="0" y="0"/>
                <wp:positionH relativeFrom="column">
                  <wp:posOffset>1744345</wp:posOffset>
                </wp:positionH>
                <wp:positionV relativeFrom="paragraph">
                  <wp:posOffset>20955</wp:posOffset>
                </wp:positionV>
                <wp:extent cx="1763395" cy="581660"/>
                <wp:effectExtent l="0" t="0" r="27305" b="27940"/>
                <wp:wrapNone/>
                <wp:docPr id="3" name="Rounded Rectangle 3"/>
                <wp:cNvGraphicFramePr/>
                <a:graphic xmlns:a="http://schemas.openxmlformats.org/drawingml/2006/main">
                  <a:graphicData uri="http://schemas.microsoft.com/office/word/2010/wordprocessingShape">
                    <wps:wsp>
                      <wps:cNvSpPr/>
                      <wps:spPr>
                        <a:xfrm>
                          <a:off x="0" y="0"/>
                          <a:ext cx="1763395" cy="581660"/>
                        </a:xfrm>
                        <a:prstGeom prst="roundRect">
                          <a:avLst/>
                        </a:prstGeom>
                        <a:solidFill>
                          <a:schemeClr val="accent5">
                            <a:lumMod val="75000"/>
                          </a:schemeClr>
                        </a:solidFill>
                      </wps:spPr>
                      <wps:style>
                        <a:lnRef idx="2">
                          <a:schemeClr val="accent1">
                            <a:lumMod val="75000"/>
                          </a:schemeClr>
                        </a:lnRef>
                        <a:fillRef idx="1">
                          <a:schemeClr val="accent1"/>
                        </a:fillRef>
                        <a:effectRef idx="0">
                          <a:srgbClr val="FFFFFF"/>
                        </a:effectRef>
                        <a:fontRef idx="minor">
                          <a:schemeClr val="lt1"/>
                        </a:fontRef>
                      </wps:style>
                      <wps:txbx>
                        <w:txbxContent>
                          <w:p w14:paraId="3CAEB8D1" w14:textId="77777777" w:rsidR="00424F74" w:rsidRDefault="00371977">
                            <w:pPr>
                              <w:jc w:val="center"/>
                            </w:pPr>
                            <w:r>
                              <w:rPr>
                                <w:rFonts w:asciiTheme="majorBidi" w:hAnsiTheme="majorBidi" w:cstheme="majorBidi"/>
                                <w:b/>
                                <w:bCs/>
                                <w:w w:val="116"/>
                              </w:rPr>
                              <w:t>A</w:t>
                            </w:r>
                            <w:r>
                              <w:rPr>
                                <w:rFonts w:asciiTheme="majorBidi" w:hAnsiTheme="majorBidi" w:cstheme="majorBidi"/>
                                <w:b/>
                                <w:bCs/>
                                <w:spacing w:val="-153"/>
                              </w:rPr>
                              <w:t xml:space="preserve"> </w:t>
                            </w:r>
                            <w:r>
                              <w:rPr>
                                <w:rFonts w:asciiTheme="majorBidi" w:hAnsiTheme="majorBidi" w:cstheme="majorBidi"/>
                                <w:b/>
                                <w:bCs/>
                                <w:w w:val="116"/>
                              </w:rPr>
                              <w:t>B</w:t>
                            </w:r>
                            <w:r>
                              <w:rPr>
                                <w:rFonts w:asciiTheme="majorBidi" w:hAnsiTheme="majorBidi" w:cstheme="majorBidi"/>
                                <w:b/>
                                <w:bCs/>
                                <w:spacing w:val="-153"/>
                              </w:rPr>
                              <w:t xml:space="preserve"> </w:t>
                            </w:r>
                            <w:r>
                              <w:rPr>
                                <w:rFonts w:asciiTheme="majorBidi" w:hAnsiTheme="majorBidi" w:cstheme="majorBidi"/>
                                <w:b/>
                                <w:bCs/>
                                <w:w w:val="116"/>
                              </w:rPr>
                              <w:t>S</w:t>
                            </w:r>
                            <w:r>
                              <w:rPr>
                                <w:rFonts w:asciiTheme="majorBidi" w:hAnsiTheme="majorBidi" w:cstheme="majorBidi"/>
                                <w:b/>
                                <w:bCs/>
                                <w:spacing w:val="-153"/>
                              </w:rPr>
                              <w:t xml:space="preserve"> </w:t>
                            </w:r>
                            <w:r>
                              <w:rPr>
                                <w:rFonts w:asciiTheme="majorBidi" w:hAnsiTheme="majorBidi" w:cstheme="majorBidi"/>
                                <w:b/>
                                <w:bCs/>
                                <w:w w:val="116"/>
                              </w:rPr>
                              <w:t>T</w:t>
                            </w:r>
                            <w:r>
                              <w:rPr>
                                <w:rFonts w:asciiTheme="majorBidi" w:hAnsiTheme="majorBidi" w:cstheme="majorBidi"/>
                                <w:b/>
                                <w:bCs/>
                                <w:spacing w:val="-153"/>
                              </w:rPr>
                              <w:t xml:space="preserve"> </w:t>
                            </w:r>
                            <w:r>
                              <w:rPr>
                                <w:rFonts w:asciiTheme="majorBidi" w:hAnsiTheme="majorBidi" w:cstheme="majorBidi"/>
                                <w:b/>
                                <w:bCs/>
                                <w:w w:val="116"/>
                              </w:rPr>
                              <w:t>R</w:t>
                            </w:r>
                            <w:r>
                              <w:rPr>
                                <w:rFonts w:asciiTheme="majorBidi" w:hAnsiTheme="majorBidi" w:cstheme="majorBidi"/>
                                <w:b/>
                                <w:bCs/>
                                <w:spacing w:val="-153"/>
                              </w:rPr>
                              <w:t xml:space="preserve"> </w:t>
                            </w:r>
                            <w:r>
                              <w:rPr>
                                <w:rFonts w:asciiTheme="majorBidi" w:hAnsiTheme="majorBidi" w:cstheme="majorBidi"/>
                                <w:b/>
                                <w:bCs/>
                                <w:w w:val="116"/>
                              </w:rPr>
                              <w:t>A</w:t>
                            </w:r>
                            <w:r>
                              <w:rPr>
                                <w:rFonts w:asciiTheme="majorBidi" w:hAnsiTheme="majorBidi" w:cstheme="majorBidi"/>
                                <w:b/>
                                <w:bCs/>
                                <w:spacing w:val="-153"/>
                              </w:rPr>
                              <w:t xml:space="preserve"> </w:t>
                            </w:r>
                            <w:r>
                              <w:rPr>
                                <w:rFonts w:asciiTheme="majorBidi" w:hAnsiTheme="majorBidi" w:cstheme="majorBidi"/>
                                <w:b/>
                                <w:bCs/>
                                <w:w w:val="116"/>
                              </w:rPr>
                              <w:t>C</w:t>
                            </w:r>
                            <w:r>
                              <w:rPr>
                                <w:rFonts w:asciiTheme="majorBidi" w:hAnsiTheme="majorBidi" w:cstheme="majorBidi"/>
                                <w:b/>
                                <w:bCs/>
                                <w:spacing w:val="-153"/>
                              </w:rPr>
                              <w:t xml:space="preserve"> </w:t>
                            </w:r>
                            <w:r>
                              <w:rPr>
                                <w:rFonts w:asciiTheme="majorBidi" w:hAnsiTheme="majorBidi" w:cstheme="majorBidi"/>
                                <w:b/>
                                <w:bCs/>
                                <w:w w:val="116"/>
                              </w:rPr>
                              <w:t>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58FA0AF3" id="Rounded Rectangle 3" o:spid="_x0000_s1026" style="position:absolute;margin-left:137.35pt;margin-top:1.65pt;width:138.85pt;height:45.8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" fillcolor="#2f5496 [2408]" strokecolor="#2e74b5 [2404]" strokeweight="1pt">
                <v:stroke joinstyle="miter"/>
                <v:textbox>
                  <w:txbxContent>
                    <w:p w14:paraId="3CAEB8D1" w14:textId="77777777" w:rsidR="00424F74" w:rsidRDefault="00371977">
                      <w:pPr>
                        <w:jc w:val="center"/>
                      </w:pPr>
                      <w:r>
                        <w:rPr>
                          <w:rFonts w:asciiTheme="majorBidi" w:hAnsiTheme="majorBidi" w:cstheme="majorBidi"/>
                          <w:b/>
                          <w:bCs/>
                          <w:w w:val="116"/>
                        </w:rPr>
                        <w:t>A</w:t>
                      </w:r>
                      <w:r>
                        <w:rPr>
                          <w:rFonts w:asciiTheme="majorBidi" w:hAnsiTheme="majorBidi" w:cstheme="majorBidi"/>
                          <w:b/>
                          <w:bCs/>
                          <w:spacing w:val="-153"/>
                        </w:rPr>
                        <w:t xml:space="preserve"> </w:t>
                      </w:r>
                      <w:r>
                        <w:rPr>
                          <w:rFonts w:asciiTheme="majorBidi" w:hAnsiTheme="majorBidi" w:cstheme="majorBidi"/>
                          <w:b/>
                          <w:bCs/>
                          <w:w w:val="116"/>
                        </w:rPr>
                        <w:t>B</w:t>
                      </w:r>
                      <w:r>
                        <w:rPr>
                          <w:rFonts w:asciiTheme="majorBidi" w:hAnsiTheme="majorBidi" w:cstheme="majorBidi"/>
                          <w:b/>
                          <w:bCs/>
                          <w:spacing w:val="-153"/>
                        </w:rPr>
                        <w:t xml:space="preserve"> </w:t>
                      </w:r>
                      <w:r>
                        <w:rPr>
                          <w:rFonts w:asciiTheme="majorBidi" w:hAnsiTheme="majorBidi" w:cstheme="majorBidi"/>
                          <w:b/>
                          <w:bCs/>
                          <w:w w:val="116"/>
                        </w:rPr>
                        <w:t>S</w:t>
                      </w:r>
                      <w:r>
                        <w:rPr>
                          <w:rFonts w:asciiTheme="majorBidi" w:hAnsiTheme="majorBidi" w:cstheme="majorBidi"/>
                          <w:b/>
                          <w:bCs/>
                          <w:spacing w:val="-153"/>
                        </w:rPr>
                        <w:t xml:space="preserve"> </w:t>
                      </w:r>
                      <w:r>
                        <w:rPr>
                          <w:rFonts w:asciiTheme="majorBidi" w:hAnsiTheme="majorBidi" w:cstheme="majorBidi"/>
                          <w:b/>
                          <w:bCs/>
                          <w:w w:val="116"/>
                        </w:rPr>
                        <w:t>T</w:t>
                      </w:r>
                      <w:r>
                        <w:rPr>
                          <w:rFonts w:asciiTheme="majorBidi" w:hAnsiTheme="majorBidi" w:cstheme="majorBidi"/>
                          <w:b/>
                          <w:bCs/>
                          <w:spacing w:val="-153"/>
                        </w:rPr>
                        <w:t xml:space="preserve"> </w:t>
                      </w:r>
                      <w:r>
                        <w:rPr>
                          <w:rFonts w:asciiTheme="majorBidi" w:hAnsiTheme="majorBidi" w:cstheme="majorBidi"/>
                          <w:b/>
                          <w:bCs/>
                          <w:w w:val="116"/>
                        </w:rPr>
                        <w:t>R</w:t>
                      </w:r>
                      <w:r>
                        <w:rPr>
                          <w:rFonts w:asciiTheme="majorBidi" w:hAnsiTheme="majorBidi" w:cstheme="majorBidi"/>
                          <w:b/>
                          <w:bCs/>
                          <w:spacing w:val="-153"/>
                        </w:rPr>
                        <w:t xml:space="preserve"> </w:t>
                      </w:r>
                      <w:r>
                        <w:rPr>
                          <w:rFonts w:asciiTheme="majorBidi" w:hAnsiTheme="majorBidi" w:cstheme="majorBidi"/>
                          <w:b/>
                          <w:bCs/>
                          <w:w w:val="116"/>
                        </w:rPr>
                        <w:t>A</w:t>
                      </w:r>
                      <w:r>
                        <w:rPr>
                          <w:rFonts w:asciiTheme="majorBidi" w:hAnsiTheme="majorBidi" w:cstheme="majorBidi"/>
                          <w:b/>
                          <w:bCs/>
                          <w:spacing w:val="-153"/>
                        </w:rPr>
                        <w:t xml:space="preserve"> </w:t>
                      </w:r>
                      <w:r>
                        <w:rPr>
                          <w:rFonts w:asciiTheme="majorBidi" w:hAnsiTheme="majorBidi" w:cstheme="majorBidi"/>
                          <w:b/>
                          <w:bCs/>
                          <w:w w:val="116"/>
                        </w:rPr>
                        <w:t>C</w:t>
                      </w:r>
                      <w:r>
                        <w:rPr>
                          <w:rFonts w:asciiTheme="majorBidi" w:hAnsiTheme="majorBidi" w:cstheme="majorBidi"/>
                          <w:b/>
                          <w:bCs/>
                          <w:spacing w:val="-153"/>
                        </w:rPr>
                        <w:t xml:space="preserve"> </w:t>
                      </w:r>
                      <w:r>
                        <w:rPr>
                          <w:rFonts w:asciiTheme="majorBidi" w:hAnsiTheme="majorBidi" w:cstheme="majorBidi"/>
                          <w:b/>
                          <w:bCs/>
                          <w:w w:val="116"/>
                        </w:rPr>
                        <w:t>T</w:t>
                      </w:r>
                    </w:p>
                  </w:txbxContent>
                </v:textbox>
              </v:roundrect>
            </w:pict>
          </mc:Fallback>
        </mc:AlternateContent>
      </w:r>
    </w:p>
    <w:p w14:paraId="1CEC624F" w14:textId="77777777" w:rsidR="00424F74" w:rsidRPr="00ED4FC8" w:rsidRDefault="00424F74">
      <w:pPr>
        <w:rPr>
          <w:rStyle w:val="Hyperlink"/>
          <w:rFonts w:ascii="Times New Roman" w:hAnsi="Times New Roman" w:cs="Times New Roman"/>
          <w:sz w:val="24"/>
          <w:szCs w:val="24"/>
        </w:rPr>
      </w:pPr>
    </w:p>
    <w:p w14:paraId="33842C45" w14:textId="77777777" w:rsidR="00424F74" w:rsidRPr="00ED4FC8" w:rsidRDefault="00424F74">
      <w:pPr>
        <w:rPr>
          <w:rStyle w:val="Hyperlink"/>
          <w:rFonts w:ascii="Times New Roman" w:hAnsi="Times New Roman" w:cs="Times New Roman"/>
          <w:sz w:val="24"/>
          <w:szCs w:val="24"/>
        </w:rPr>
      </w:pPr>
    </w:p>
    <w:p w14:paraId="70A3160D" w14:textId="77777777" w:rsidR="00424F74" w:rsidRPr="00ED4FC8" w:rsidRDefault="00424F74">
      <w:pPr>
        <w:rPr>
          <w:rStyle w:val="Hyperlink"/>
          <w:rFonts w:ascii="Times New Roman" w:hAnsi="Times New Roman" w:cs="Times New Roman"/>
          <w:sz w:val="24"/>
          <w:szCs w:val="24"/>
        </w:rPr>
      </w:pPr>
    </w:p>
    <w:p w14:paraId="4A340BA1" w14:textId="77777777" w:rsidR="001E2EF8" w:rsidRPr="001E2EF8" w:rsidRDefault="001E2EF8" w:rsidP="001E2EF8">
      <w:pPr>
        <w:pStyle w:val="Abstract"/>
        <w:spacing w:after="0"/>
        <w:ind w:firstLine="0"/>
        <w:rPr>
          <w:b w:val="0"/>
          <w:bCs w:val="0"/>
          <w:sz w:val="24"/>
          <w:szCs w:val="24"/>
        </w:rPr>
      </w:pPr>
      <w:r w:rsidRPr="001E2EF8">
        <w:rPr>
          <w:b w:val="0"/>
          <w:bCs w:val="0"/>
          <w:sz w:val="24"/>
          <w:szCs w:val="24"/>
        </w:rPr>
        <w:t>This paper investigated how job satisfaction mediates the relationship between core self-evaluations (CSE) and organizational commitment in the case of middle-level employees of non-governmental organizations (NGOs) in Quetta, Pakistan. A cross-sectional study with a quantitative design was adopted. Structured questionnaires were used to collect data in the form of a census sample of 314 middle-level employees. The CSE Scale was used to determine core self-evaluations (Judge et al., 2003) and the Minnesota Satisfaction Questionnaire (MSQ; Weiss et al., 1967) was used to determine job satisfaction and the Organizational Commitment Questionnaire (OCQ; Allen and Meyer, 1991) was used to determine organizational commitment. Pearson correlations, hierarchical multiple regression analyses and descriptive statistics were used. The Sobel test was used to conduct mediation analysis. Findings indicated that there were positive relationships that were significant between CSE, job satisfaction, and organizational commitment. The CSE-organizational commitment relationship was mediated by job satisfaction (indirect effect = 0.276, SE = 0.038, Z = 7.26, p = 0.001). These results highlighted the importance of the development of positive self-assessments to improve employee satisfaction and commitment in the NGO sector in Quetta.</w:t>
      </w:r>
    </w:p>
    <w:p w14:paraId="654DEE73" w14:textId="77777777" w:rsidR="0047692A" w:rsidRPr="0047692A" w:rsidRDefault="0047692A" w:rsidP="0047692A">
      <w:pPr>
        <w:pStyle w:val="Abstract"/>
        <w:spacing w:after="0"/>
        <w:rPr>
          <w:b w:val="0"/>
          <w:i/>
          <w:iCs/>
          <w:sz w:val="24"/>
          <w:szCs w:val="24"/>
        </w:rPr>
      </w:pPr>
    </w:p>
    <w:p w14:paraId="16432274" w14:textId="712D9EB5" w:rsidR="0047692A" w:rsidRPr="00A97B37" w:rsidRDefault="0047692A" w:rsidP="00A97B37">
      <w:pPr>
        <w:pStyle w:val="Keywords"/>
        <w:spacing w:after="0"/>
        <w:ind w:firstLine="0"/>
        <w:rPr>
          <w:i w:val="0"/>
          <w:sz w:val="24"/>
          <w:szCs w:val="24"/>
        </w:rPr>
      </w:pPr>
      <w:r w:rsidRPr="0047692A">
        <w:rPr>
          <w:i w:val="0"/>
          <w:sz w:val="24"/>
          <w:szCs w:val="24"/>
        </w:rPr>
        <w:t>Keywords—</w:t>
      </w:r>
      <w:r w:rsidR="001E2EF8" w:rsidRPr="001E2EF8">
        <w:rPr>
          <w:rFonts w:eastAsiaTheme="minorHAnsi"/>
          <w:b w:val="0"/>
          <w:bCs w:val="0"/>
          <w:i w:val="0"/>
          <w:kern w:val="2"/>
          <w:sz w:val="24"/>
          <w:szCs w:val="24"/>
          <w14:ligatures w14:val="standardContextual"/>
        </w:rPr>
        <w:t xml:space="preserve"> </w:t>
      </w:r>
      <w:r w:rsidR="001E2EF8" w:rsidRPr="001E2EF8">
        <w:rPr>
          <w:b w:val="0"/>
          <w:bCs w:val="0"/>
          <w:i w:val="0"/>
          <w:sz w:val="24"/>
          <w:szCs w:val="24"/>
        </w:rPr>
        <w:t>core self-evaluations, job satisfaction, organizational commitment, NGOs, mediation, Quetta, Pakistan</w:t>
      </w:r>
    </w:p>
    <w:p w14:paraId="288D819A" w14:textId="77777777" w:rsidR="0047692A" w:rsidRPr="0047692A" w:rsidRDefault="0047692A" w:rsidP="0047692A">
      <w:pPr>
        <w:pStyle w:val="Heading1"/>
        <w:keepNext/>
        <w:keepLines/>
        <w:widowControl/>
        <w:tabs>
          <w:tab w:val="left" w:pos="216"/>
          <w:tab w:val="num" w:pos="576"/>
        </w:tabs>
        <w:autoSpaceDE/>
        <w:autoSpaceDN/>
        <w:ind w:left="0"/>
        <w:jc w:val="both"/>
      </w:pPr>
      <w:r w:rsidRPr="0047692A">
        <w:lastRenderedPageBreak/>
        <w:t>Introduction</w:t>
      </w:r>
    </w:p>
    <w:p w14:paraId="753E1D35" w14:textId="77777777" w:rsidR="001E2EF8" w:rsidRPr="001E2EF8" w:rsidRDefault="001E2EF8" w:rsidP="001E2EF8">
      <w:pPr>
        <w:jc w:val="both"/>
        <w:rPr>
          <w:rFonts w:ascii="Times New Roman" w:hAnsi="Times New Roman" w:cs="Times New Roman"/>
          <w:sz w:val="24"/>
          <w:szCs w:val="24"/>
        </w:rPr>
      </w:pPr>
      <w:bookmarkStart w:id="0" w:name="_Hlk99148729"/>
      <w:r w:rsidRPr="001E2EF8">
        <w:rPr>
          <w:rFonts w:ascii="Times New Roman" w:hAnsi="Times New Roman" w:cs="Times New Roman"/>
          <w:sz w:val="24"/>
          <w:szCs w:val="24"/>
        </w:rPr>
        <w:t>The non-profit and non-governmental organizations have unique human resource issues, especially in maintaining employee motivation, satisfaction, and commitment. In developing economies like Pakistan, the circumstances facing non-governmental organizations (NGOs) are a lack of resources, bureaucratic ambiguity, and socio-political instability, and thus, human capital management is a key concern of organizational commitment (Akbar et al., 2020). It is both theoretically and practically important to understand the psychological determinants of organizational commitment among employees in this sector.</w:t>
      </w:r>
    </w:p>
    <w:p w14:paraId="6AF3823F"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Core self-evaluations (CSE) is a higher-order trait measure that involves a generalization of the self-worth, competence and ability of an individual (Judge et al., 2003). CSE includes four characteristics that are interlinked namely: self-esteem, generalized self-efficacy, locus of control, and neuroticism. High CSE persons have a more positive perception of the environment, they are more persistent when faced with challenges, job performance and satisfaction is higher in such people (Judge and Bono, 2003). Organizational commitment is the psychological attachment of the workers with their organization (Allen and Meyer, 1990) which is important in predicting employee retention, absenteeism and citizenship behaviours (Meyer et al., 2002).</w:t>
      </w:r>
    </w:p>
    <w:p w14:paraId="1AD89ECE"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Although there is considerable theoretical and empirical literature on CSE and organisational commitment, there is scarcely any literature on the mechanism by which CSE affects commitment especially in the context of NGOs in developing countries. Job satisfaction has been suggested to mediate this relationship (Piccolo et al., 2005) as positive self-evaluations have been theorized to create positive appraisals of the job situation which subsequently led to an commitment to the organisation. Nonetheless, the mediated route has rarely been empirically tested in the NGO sector in Pakistan, especially in the culturally diverse and economically underprivileged area of Quetta.</w:t>
      </w:r>
    </w:p>
    <w:p w14:paraId="0350F851" w14:textId="77777777" w:rsid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The current research study tries to fill this gap by investigating the mediating role of job satisfaction on the connection between CSE and organizational commitment in middle-level workers of NGOs in Quetta. The study also measured to add to the more finely tuned comprehension of organizational behaviors within the Pakistani development sector by concentrating on the middle-level employees, who represent a strategically significant yet under-researched group in organizational hierarchies.</w:t>
      </w:r>
    </w:p>
    <w:p w14:paraId="042B0406" w14:textId="77777777" w:rsidR="001E2EF8" w:rsidRPr="001E2EF8" w:rsidRDefault="001E2EF8" w:rsidP="001E2EF8">
      <w:pPr>
        <w:jc w:val="both"/>
        <w:rPr>
          <w:rFonts w:ascii="Times New Roman" w:hAnsi="Times New Roman" w:cs="Times New Roman"/>
          <w:sz w:val="24"/>
          <w:szCs w:val="24"/>
        </w:rPr>
      </w:pPr>
    </w:p>
    <w:p w14:paraId="5452E6BC" w14:textId="77777777" w:rsidR="001E2EF8" w:rsidRPr="001E2EF8" w:rsidRDefault="001E2EF8" w:rsidP="001E2EF8">
      <w:pPr>
        <w:jc w:val="both"/>
        <w:rPr>
          <w:rFonts w:ascii="Times New Roman" w:hAnsi="Times New Roman" w:cs="Times New Roman"/>
          <w:b/>
          <w:bCs/>
          <w:sz w:val="24"/>
          <w:szCs w:val="24"/>
        </w:rPr>
      </w:pPr>
      <w:r w:rsidRPr="001E2EF8">
        <w:rPr>
          <w:rFonts w:ascii="Times New Roman" w:hAnsi="Times New Roman" w:cs="Times New Roman"/>
          <w:b/>
          <w:bCs/>
          <w:sz w:val="24"/>
          <w:szCs w:val="24"/>
        </w:rPr>
        <w:t>Research Objectives</w:t>
      </w:r>
    </w:p>
    <w:p w14:paraId="0B6A93B1" w14:textId="77777777" w:rsidR="001E2EF8" w:rsidRPr="001E2EF8" w:rsidRDefault="001E2EF8" w:rsidP="001E2EF8">
      <w:pPr>
        <w:numPr>
          <w:ilvl w:val="0"/>
          <w:numId w:val="13"/>
        </w:numPr>
        <w:jc w:val="both"/>
        <w:rPr>
          <w:rFonts w:ascii="Times New Roman" w:hAnsi="Times New Roman" w:cs="Times New Roman"/>
          <w:sz w:val="24"/>
          <w:szCs w:val="24"/>
        </w:rPr>
      </w:pPr>
      <w:r w:rsidRPr="001E2EF8">
        <w:rPr>
          <w:rFonts w:ascii="Times New Roman" w:hAnsi="Times New Roman" w:cs="Times New Roman"/>
          <w:sz w:val="24"/>
          <w:szCs w:val="24"/>
        </w:rPr>
        <w:t>To find out the correlation between Core Self-Evaluations and Organizational Commitment.</w:t>
      </w:r>
    </w:p>
    <w:p w14:paraId="12B0AC2B" w14:textId="77777777" w:rsidR="001E2EF8" w:rsidRPr="001E2EF8" w:rsidRDefault="001E2EF8" w:rsidP="001E2EF8">
      <w:pPr>
        <w:numPr>
          <w:ilvl w:val="0"/>
          <w:numId w:val="13"/>
        </w:numPr>
        <w:jc w:val="both"/>
        <w:rPr>
          <w:rFonts w:ascii="Times New Roman" w:hAnsi="Times New Roman" w:cs="Times New Roman"/>
          <w:sz w:val="24"/>
          <w:szCs w:val="24"/>
        </w:rPr>
      </w:pPr>
      <w:r w:rsidRPr="001E2EF8">
        <w:rPr>
          <w:rFonts w:ascii="Times New Roman" w:hAnsi="Times New Roman" w:cs="Times New Roman"/>
          <w:sz w:val="24"/>
          <w:szCs w:val="24"/>
        </w:rPr>
        <w:t>To measure the correlation between Core Self-Evaluations and Job Satisfaction.</w:t>
      </w:r>
    </w:p>
    <w:p w14:paraId="1EC9B04F" w14:textId="77777777" w:rsidR="001E2EF8" w:rsidRDefault="001E2EF8" w:rsidP="001E2EF8">
      <w:pPr>
        <w:numPr>
          <w:ilvl w:val="0"/>
          <w:numId w:val="13"/>
        </w:numPr>
        <w:jc w:val="both"/>
        <w:rPr>
          <w:rFonts w:ascii="Times New Roman" w:hAnsi="Times New Roman" w:cs="Times New Roman"/>
          <w:b/>
          <w:bCs/>
          <w:sz w:val="24"/>
          <w:szCs w:val="24"/>
        </w:rPr>
      </w:pPr>
      <w:r w:rsidRPr="001E2EF8">
        <w:rPr>
          <w:rFonts w:ascii="Times New Roman" w:hAnsi="Times New Roman" w:cs="Times New Roman"/>
          <w:sz w:val="24"/>
          <w:szCs w:val="24"/>
        </w:rPr>
        <w:t>To examine the mediating effect of job satisfaction between the relationship of Core Self-Evaluations and Organizational Commitment</w:t>
      </w:r>
      <w:r w:rsidRPr="001E2EF8">
        <w:rPr>
          <w:rFonts w:ascii="Times New Roman" w:hAnsi="Times New Roman" w:cs="Times New Roman"/>
          <w:b/>
          <w:bCs/>
          <w:sz w:val="24"/>
          <w:szCs w:val="24"/>
        </w:rPr>
        <w:t>.</w:t>
      </w:r>
    </w:p>
    <w:p w14:paraId="753C5215" w14:textId="77777777" w:rsidR="001E2EF8" w:rsidRDefault="001E2EF8" w:rsidP="001E2EF8">
      <w:pPr>
        <w:ind w:left="720"/>
        <w:jc w:val="both"/>
        <w:rPr>
          <w:rFonts w:ascii="Times New Roman" w:hAnsi="Times New Roman" w:cs="Times New Roman"/>
          <w:b/>
          <w:bCs/>
          <w:sz w:val="24"/>
          <w:szCs w:val="24"/>
        </w:rPr>
      </w:pPr>
    </w:p>
    <w:p w14:paraId="17DEE222" w14:textId="77777777" w:rsidR="001E2EF8" w:rsidRPr="001E2EF8" w:rsidRDefault="001E2EF8" w:rsidP="001E2EF8">
      <w:pPr>
        <w:ind w:left="720"/>
        <w:jc w:val="both"/>
        <w:rPr>
          <w:rFonts w:ascii="Times New Roman" w:hAnsi="Times New Roman" w:cs="Times New Roman"/>
          <w:b/>
          <w:bCs/>
          <w:sz w:val="24"/>
          <w:szCs w:val="24"/>
        </w:rPr>
      </w:pPr>
    </w:p>
    <w:p w14:paraId="3A7D9380" w14:textId="77777777" w:rsidR="001E2EF8" w:rsidRPr="001E2EF8" w:rsidRDefault="001E2EF8" w:rsidP="001E2EF8">
      <w:pPr>
        <w:jc w:val="both"/>
        <w:rPr>
          <w:rFonts w:ascii="Times New Roman" w:hAnsi="Times New Roman" w:cs="Times New Roman"/>
          <w:b/>
          <w:bCs/>
          <w:sz w:val="24"/>
          <w:szCs w:val="24"/>
        </w:rPr>
      </w:pPr>
      <w:r w:rsidRPr="001E2EF8">
        <w:rPr>
          <w:rFonts w:ascii="Times New Roman" w:hAnsi="Times New Roman" w:cs="Times New Roman"/>
          <w:b/>
          <w:bCs/>
          <w:sz w:val="24"/>
          <w:szCs w:val="24"/>
        </w:rPr>
        <w:t>1.2 Research Hypotheses</w:t>
      </w:r>
    </w:p>
    <w:p w14:paraId="7E90764E"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H1: Core self-evaluations positively associated with organizational commitment in Non-Governmental Organizations</w:t>
      </w:r>
    </w:p>
    <w:p w14:paraId="07178241"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lastRenderedPageBreak/>
        <w:t>H2: Core self-evaluations have a positive relationship with job satisfaction in Non-Governmental Organizations</w:t>
      </w:r>
    </w:p>
    <w:p w14:paraId="2BECAB17" w14:textId="77777777" w:rsid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H3: Core self-evaluations have a mediating effect between organisational commitment and job satisfaction in Non-Governmental Organizations</w:t>
      </w:r>
    </w:p>
    <w:p w14:paraId="0092C5AE" w14:textId="77777777" w:rsidR="001E2EF8" w:rsidRPr="001E2EF8" w:rsidRDefault="001E2EF8" w:rsidP="001E2EF8">
      <w:pPr>
        <w:jc w:val="both"/>
        <w:rPr>
          <w:rFonts w:ascii="Times New Roman" w:hAnsi="Times New Roman" w:cs="Times New Roman"/>
          <w:sz w:val="24"/>
          <w:szCs w:val="24"/>
        </w:rPr>
      </w:pPr>
    </w:p>
    <w:p w14:paraId="316C6307" w14:textId="77777777" w:rsidR="001E2EF8" w:rsidRPr="001E2EF8" w:rsidRDefault="001E2EF8" w:rsidP="001E2EF8">
      <w:pPr>
        <w:jc w:val="both"/>
        <w:rPr>
          <w:rFonts w:ascii="Times New Roman" w:hAnsi="Times New Roman" w:cs="Times New Roman"/>
          <w:b/>
          <w:bCs/>
          <w:sz w:val="24"/>
          <w:szCs w:val="24"/>
        </w:rPr>
      </w:pPr>
      <w:r w:rsidRPr="001E2EF8">
        <w:rPr>
          <w:rFonts w:ascii="Times New Roman" w:hAnsi="Times New Roman" w:cs="Times New Roman"/>
          <w:b/>
          <w:bCs/>
          <w:sz w:val="24"/>
          <w:szCs w:val="24"/>
        </w:rPr>
        <w:t>Literature Review</w:t>
      </w:r>
    </w:p>
    <w:p w14:paraId="261FDCEF" w14:textId="77777777" w:rsidR="001E2EF8" w:rsidRPr="001E2EF8" w:rsidRDefault="001E2EF8" w:rsidP="001E2EF8">
      <w:pPr>
        <w:jc w:val="both"/>
        <w:rPr>
          <w:rFonts w:ascii="Times New Roman" w:hAnsi="Times New Roman" w:cs="Times New Roman"/>
          <w:b/>
          <w:bCs/>
          <w:sz w:val="24"/>
          <w:szCs w:val="24"/>
        </w:rPr>
      </w:pPr>
      <w:r w:rsidRPr="001E2EF8">
        <w:rPr>
          <w:rFonts w:ascii="Times New Roman" w:hAnsi="Times New Roman" w:cs="Times New Roman"/>
          <w:b/>
          <w:bCs/>
          <w:sz w:val="24"/>
          <w:szCs w:val="24"/>
        </w:rPr>
        <w:t>Core Self-Evaluations</w:t>
      </w:r>
    </w:p>
    <w:p w14:paraId="2F6B8B0D" w14:textId="77777777" w:rsidR="001E2EF8" w:rsidRDefault="001E2EF8" w:rsidP="001E2EF8">
      <w:pPr>
        <w:jc w:val="both"/>
        <w:rPr>
          <w:rFonts w:ascii="Times New Roman" w:hAnsi="Times New Roman" w:cs="Times New Roman"/>
          <w:b/>
          <w:bCs/>
          <w:sz w:val="24"/>
          <w:szCs w:val="24"/>
        </w:rPr>
      </w:pPr>
      <w:r w:rsidRPr="001E2EF8">
        <w:rPr>
          <w:rFonts w:ascii="Times New Roman" w:hAnsi="Times New Roman" w:cs="Times New Roman"/>
          <w:sz w:val="24"/>
          <w:szCs w:val="24"/>
        </w:rPr>
        <w:t>Judge et al. (1997) came up with the concept of core self-evaluations as a broadband dispositional construct that showed how individuals perceive themselves in a positive manner. CSE involves self-esteem (the general assessment of self-worth), generalized self-efficacy (beliefs on the ability to effectively do things) and locus of control (perceived control regarding life events) and emotional stability (low neuroticism). The conceptual similarity between these traits in the notion of self-appraisal and their structural consistency in factor analyses underlies the conceptualization of the treatment of these traits as a higher-order construct (Judge et al., 2002). Empirical studies have always shown a positive correlation between CSE and organisational commitment. Judge and Bono, (2001) showed that CSE had significant correlation with job satisfaction (coefficient correlation =.41) and job performance (coefficient correlation =.23). Erez and Judge (2001) discovered that people who have high CSE have more difficult goals, goals commitment, and better performance. Chang et al. (2012) pointed out the importance of buffering work stress and promoting wellbeing, especially important in work environment with high demands like that found in most NGOs</w:t>
      </w:r>
      <w:r w:rsidRPr="001E2EF8">
        <w:rPr>
          <w:rFonts w:ascii="Times New Roman" w:hAnsi="Times New Roman" w:cs="Times New Roman"/>
          <w:b/>
          <w:bCs/>
          <w:sz w:val="24"/>
          <w:szCs w:val="24"/>
        </w:rPr>
        <w:t>.</w:t>
      </w:r>
    </w:p>
    <w:p w14:paraId="01CABE13" w14:textId="77777777" w:rsidR="001E2EF8" w:rsidRPr="001E2EF8" w:rsidRDefault="001E2EF8" w:rsidP="001E2EF8">
      <w:pPr>
        <w:jc w:val="both"/>
        <w:rPr>
          <w:rFonts w:ascii="Times New Roman" w:hAnsi="Times New Roman" w:cs="Times New Roman"/>
          <w:sz w:val="24"/>
          <w:szCs w:val="24"/>
        </w:rPr>
      </w:pPr>
    </w:p>
    <w:p w14:paraId="4BC23D7A" w14:textId="77777777" w:rsidR="001E2EF8" w:rsidRPr="001E2EF8" w:rsidRDefault="001E2EF8" w:rsidP="001E2EF8">
      <w:pPr>
        <w:jc w:val="both"/>
        <w:rPr>
          <w:rFonts w:ascii="Times New Roman" w:hAnsi="Times New Roman" w:cs="Times New Roman"/>
          <w:b/>
          <w:bCs/>
          <w:sz w:val="24"/>
          <w:szCs w:val="24"/>
        </w:rPr>
      </w:pPr>
      <w:r w:rsidRPr="001E2EF8">
        <w:rPr>
          <w:rFonts w:ascii="Times New Roman" w:hAnsi="Times New Roman" w:cs="Times New Roman"/>
          <w:b/>
          <w:bCs/>
          <w:sz w:val="24"/>
          <w:szCs w:val="24"/>
        </w:rPr>
        <w:t>Job Satisfaction</w:t>
      </w:r>
    </w:p>
    <w:p w14:paraId="75BD3D4B" w14:textId="77777777" w:rsid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Job satisfaction involves an effective and evaluative reaction of an employee towards his job and work situation (Locke, 1969). It includes job satisfaction, supervision, fellow employees, salary, and career growth. Job satisfaction is a vastly researched variable as an outcome and predictor of diverse individual and organisational variables. Studies have continuously found job satisfaction to be a strong antecedent of organisational commitment, turnover intentions, performance and organisational citizenship behavior (Judge et al., 2020). Job satisfaction is influenced by the conventional job-related elements in the context of NGOs, but also by the feeling of purpose and fulfilment of the mission that defines work in the development sector (Akintayo, 2010). Job satisfaction levels among employees working in NGOs can be increased when workers feel that their work is valuable and in line with their values, but this level of satisfaction can be balanced by other factors such as the adequacy of compensation, clarity in their roles, and support of the management (Borzaga and Tortia, 2006).</w:t>
      </w:r>
    </w:p>
    <w:p w14:paraId="15C962D1" w14:textId="77777777" w:rsidR="001E2EF8" w:rsidRPr="001E2EF8" w:rsidRDefault="001E2EF8" w:rsidP="001E2EF8">
      <w:pPr>
        <w:jc w:val="both"/>
        <w:rPr>
          <w:rFonts w:ascii="Times New Roman" w:hAnsi="Times New Roman" w:cs="Times New Roman"/>
          <w:sz w:val="24"/>
          <w:szCs w:val="24"/>
        </w:rPr>
      </w:pPr>
    </w:p>
    <w:p w14:paraId="77E56D7D" w14:textId="77777777" w:rsidR="001E2EF8" w:rsidRPr="001E2EF8" w:rsidRDefault="001E2EF8" w:rsidP="001E2EF8">
      <w:pPr>
        <w:jc w:val="both"/>
        <w:rPr>
          <w:rFonts w:ascii="Times New Roman" w:hAnsi="Times New Roman" w:cs="Times New Roman"/>
          <w:b/>
          <w:bCs/>
          <w:sz w:val="24"/>
          <w:szCs w:val="24"/>
        </w:rPr>
      </w:pPr>
      <w:r w:rsidRPr="001E2EF8">
        <w:rPr>
          <w:rFonts w:ascii="Times New Roman" w:hAnsi="Times New Roman" w:cs="Times New Roman"/>
          <w:b/>
          <w:bCs/>
          <w:sz w:val="24"/>
          <w:szCs w:val="24"/>
        </w:rPr>
        <w:t>Organisational Commitment</w:t>
      </w:r>
    </w:p>
    <w:p w14:paraId="37A64F5E"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 xml:space="preserve">Allen and Meyer (1990) theorized organisational commitment as three-component construct that includes affective commitment (emotional attachment to the organization), continuance commitment (perceived cost of leaving) and normative commitment (sense of obligation to stay). Affective commitment especially has been the most theoretically discussed and most closely associated with positive results </w:t>
      </w:r>
      <w:r w:rsidRPr="001E2EF8">
        <w:rPr>
          <w:rFonts w:ascii="Times New Roman" w:hAnsi="Times New Roman" w:cs="Times New Roman"/>
          <w:sz w:val="24"/>
          <w:szCs w:val="24"/>
        </w:rPr>
        <w:lastRenderedPageBreak/>
        <w:t>including performance, retention and organisational commitment (Meyer et al., 2002).</w:t>
      </w:r>
    </w:p>
    <w:p w14:paraId="023FA5D7" w14:textId="77777777" w:rsid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The organisational commitment has been ever fresh issue in the Pakistani NGO sector due to the high turnover rates and the inability to retain talented workers due to relatively low compensation rates in this sector compared to the one in the private sector (Rehman et al., 2019). Surveys investigating commitment within the sector revealed that psychological and relational aspects, such as the perceived organisational support, leadership quality, and personal values alignment, are predictors of employee commitment (Nazir et al., 2016).</w:t>
      </w:r>
    </w:p>
    <w:p w14:paraId="6CF63A0E" w14:textId="77777777" w:rsidR="001E2EF8" w:rsidRPr="001E2EF8" w:rsidRDefault="001E2EF8" w:rsidP="001E2EF8">
      <w:pPr>
        <w:jc w:val="both"/>
        <w:rPr>
          <w:rFonts w:ascii="Times New Roman" w:hAnsi="Times New Roman" w:cs="Times New Roman"/>
          <w:sz w:val="24"/>
          <w:szCs w:val="24"/>
        </w:rPr>
      </w:pPr>
    </w:p>
    <w:p w14:paraId="5EC9D0AB" w14:textId="77777777" w:rsidR="001E2EF8" w:rsidRPr="001E2EF8" w:rsidRDefault="001E2EF8" w:rsidP="001E2EF8">
      <w:pPr>
        <w:jc w:val="both"/>
        <w:rPr>
          <w:rFonts w:ascii="Times New Roman" w:hAnsi="Times New Roman" w:cs="Times New Roman"/>
          <w:b/>
          <w:bCs/>
          <w:sz w:val="24"/>
          <w:szCs w:val="24"/>
        </w:rPr>
      </w:pPr>
      <w:r w:rsidRPr="001E2EF8">
        <w:rPr>
          <w:rFonts w:ascii="Times New Roman" w:hAnsi="Times New Roman" w:cs="Times New Roman"/>
          <w:b/>
          <w:bCs/>
          <w:sz w:val="24"/>
          <w:szCs w:val="24"/>
        </w:rPr>
        <w:t>CSE, Job Satisfaction, and Organisational commitment: Mediation Model.</w:t>
      </w:r>
    </w:p>
    <w:p w14:paraId="7F57065D"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The hypothetical argument of job satisfaction as a mediator between CSE and commitment relationship is based on the cognitive and motivational theories of work behavior. Judge et al. (1998) hypothesized that CSE has an effect on job satisfaction via cognitive appraisal processes: those who have positive self-evaluations tend to have more positive views of their workplace, establish meaningful goals and achieve them, and feel intrinsically motivated, which creates job satisfaction. Satisfied employees, in their turn, establish stronger psychological attachment to their organisation, which is suggested by affect model of job attitudes, as suggested by Locke (1969).</w:t>
      </w:r>
    </w:p>
    <w:p w14:paraId="489C1140" w14:textId="77777777" w:rsid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Piccolo et al. (2005) empirically supported that job satisfaction mediated the effect of CSE on organisational performance as well as organisational commitment. But it is not clear whether these findings can be generalized to NGOs. The current research will help bridge this gap by testing the mediation model within the context of NGOs in Quetta.</w:t>
      </w:r>
    </w:p>
    <w:p w14:paraId="49DFA2A9" w14:textId="77777777" w:rsidR="001E2EF8" w:rsidRPr="001E2EF8" w:rsidRDefault="001E2EF8" w:rsidP="001E2EF8">
      <w:pPr>
        <w:jc w:val="both"/>
        <w:rPr>
          <w:rFonts w:ascii="Times New Roman" w:hAnsi="Times New Roman" w:cs="Times New Roman"/>
          <w:sz w:val="24"/>
          <w:szCs w:val="24"/>
        </w:rPr>
      </w:pPr>
    </w:p>
    <w:p w14:paraId="264E9AA5" w14:textId="77777777" w:rsidR="001E2EF8" w:rsidRPr="001E2EF8" w:rsidRDefault="001E2EF8" w:rsidP="001E2EF8">
      <w:pPr>
        <w:jc w:val="both"/>
        <w:rPr>
          <w:rFonts w:ascii="Times New Roman" w:hAnsi="Times New Roman" w:cs="Times New Roman"/>
          <w:b/>
          <w:bCs/>
          <w:sz w:val="24"/>
          <w:szCs w:val="24"/>
        </w:rPr>
      </w:pPr>
      <w:r w:rsidRPr="001E2EF8">
        <w:rPr>
          <w:rFonts w:ascii="Times New Roman" w:hAnsi="Times New Roman" w:cs="Times New Roman"/>
          <w:b/>
          <w:bCs/>
          <w:sz w:val="24"/>
          <w:szCs w:val="24"/>
        </w:rPr>
        <w:t>Methodology</w:t>
      </w:r>
    </w:p>
    <w:p w14:paraId="308F6FFA" w14:textId="77777777" w:rsid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The research design used was the quantitative cross-sectional research design, and this research design was deemed to be suitable to measure the relationships between Core Self-Evaluations (CSE), job satisfaction and organisational commitment at one time. The design allowed the researcher to test the hypothesized mediation model through the use of statistical methods as well as generalise the results to the overall population of middle-level NGO workers in Quetta. The target group was comprised of all middle-level employees in registered non-governmental organization working in Quetta, Balochistan, Pakistan. Middle level employees were those who held supervisory and managerial roles between the entry level employees and the senior management. According to an official list of NGOs working in the area, the sample of employees was pointed out as 314. Structured questionnaire was used to collect data by asking participants to complete them in their workplaces, but only after receiving formal consent of NGO management. The participants were made aware of voluntary nature of participation, confidentiality of responses and academic purpose of the study. IBM SPSS Version 26 was used to analyze the data. To summarize the data, descriptive statistics were calculated whereas reliability was determined by Cronbach’s alpha. Pearson correlation analysis was used to examine relationships among variables. Regression model was used to test the mediation in the manner described by Baron and Kenny (1986) and to test the significance of indirect effects the Sobel test (1982) was used.</w:t>
      </w:r>
    </w:p>
    <w:p w14:paraId="1CC0EFBD" w14:textId="77777777" w:rsidR="001E2EF8" w:rsidRPr="001E2EF8" w:rsidRDefault="001E2EF8" w:rsidP="001E2EF8">
      <w:pPr>
        <w:jc w:val="both"/>
        <w:rPr>
          <w:rFonts w:ascii="Times New Roman" w:hAnsi="Times New Roman" w:cs="Times New Roman"/>
          <w:sz w:val="24"/>
          <w:szCs w:val="24"/>
        </w:rPr>
      </w:pPr>
    </w:p>
    <w:p w14:paraId="09C7A0F7" w14:textId="77777777" w:rsidR="001E2EF8" w:rsidRPr="001E2EF8" w:rsidRDefault="001E2EF8" w:rsidP="001E2EF8">
      <w:pPr>
        <w:jc w:val="both"/>
        <w:rPr>
          <w:rFonts w:ascii="Times New Roman" w:hAnsi="Times New Roman" w:cs="Times New Roman"/>
          <w:b/>
          <w:bCs/>
          <w:sz w:val="24"/>
          <w:szCs w:val="24"/>
        </w:rPr>
      </w:pPr>
      <w:r w:rsidRPr="001E2EF8">
        <w:rPr>
          <w:rFonts w:ascii="Times New Roman" w:hAnsi="Times New Roman" w:cs="Times New Roman"/>
          <w:b/>
          <w:bCs/>
          <w:sz w:val="24"/>
          <w:szCs w:val="24"/>
        </w:rPr>
        <w:lastRenderedPageBreak/>
        <w:t>Results</w:t>
      </w:r>
    </w:p>
    <w:p w14:paraId="4A76E0B9" w14:textId="77777777" w:rsidR="001E2EF8" w:rsidRPr="001E2EF8" w:rsidRDefault="001E2EF8" w:rsidP="001E2EF8">
      <w:pPr>
        <w:jc w:val="both"/>
        <w:rPr>
          <w:rFonts w:ascii="Times New Roman" w:hAnsi="Times New Roman" w:cs="Times New Roman"/>
          <w:b/>
          <w:bCs/>
          <w:sz w:val="24"/>
          <w:szCs w:val="24"/>
        </w:rPr>
      </w:pPr>
      <w:r w:rsidRPr="001E2EF8">
        <w:rPr>
          <w:rFonts w:ascii="Times New Roman" w:hAnsi="Times New Roman" w:cs="Times New Roman"/>
          <w:b/>
          <w:bCs/>
          <w:sz w:val="24"/>
          <w:szCs w:val="24"/>
        </w:rPr>
        <w:t>Demographic Characteristics</w:t>
      </w:r>
    </w:p>
    <w:p w14:paraId="4D97ED80"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The demographic profile of the study sample is shown in Table 1. The sample consisted of male (63.1%), with most of the respondents falling in the 31 to 40 age group (42.0%). The majority of the respondents were degree holders, and the highest percentage had 6 to 10 years of working experience (37.6%). Most of the respondents were married people (62.1%).</w:t>
      </w:r>
    </w:p>
    <w:p w14:paraId="587F2E9A" w14:textId="77777777" w:rsidR="001E2EF8" w:rsidRPr="001E2EF8" w:rsidRDefault="001E2EF8" w:rsidP="001E2EF8">
      <w:pPr>
        <w:jc w:val="both"/>
        <w:rPr>
          <w:rFonts w:ascii="Times New Roman" w:hAnsi="Times New Roman" w:cs="Times New Roman"/>
          <w:b/>
          <w:bCs/>
          <w:sz w:val="24"/>
          <w:szCs w:val="24"/>
        </w:rPr>
      </w:pPr>
      <w:r w:rsidRPr="001E2EF8">
        <w:rPr>
          <w:rFonts w:ascii="Times New Roman" w:hAnsi="Times New Roman" w:cs="Times New Roman"/>
          <w:b/>
          <w:bCs/>
          <w:sz w:val="24"/>
          <w:szCs w:val="24"/>
        </w:rPr>
        <w:t>Table 1: Demographic Characteristics of Study Sample (N = 314)</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82"/>
        <w:gridCol w:w="1972"/>
        <w:gridCol w:w="1310"/>
        <w:gridCol w:w="1809"/>
      </w:tblGrid>
      <w:tr w:rsidR="001E2EF8" w:rsidRPr="001E2EF8" w14:paraId="7662D8DB" w14:textId="77777777" w:rsidTr="001E2EF8">
        <w:tc>
          <w:tcPr>
            <w:tcW w:w="0" w:type="auto"/>
            <w:tcBorders>
              <w:top w:val="single" w:sz="4" w:space="0" w:color="auto"/>
              <w:bottom w:val="single" w:sz="4" w:space="0" w:color="auto"/>
            </w:tcBorders>
          </w:tcPr>
          <w:p w14:paraId="222BA164"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b/>
                <w:bCs/>
                <w:sz w:val="24"/>
                <w:szCs w:val="24"/>
              </w:rPr>
              <w:t>Variable</w:t>
            </w:r>
          </w:p>
        </w:tc>
        <w:tc>
          <w:tcPr>
            <w:tcW w:w="0" w:type="auto"/>
            <w:tcBorders>
              <w:top w:val="single" w:sz="4" w:space="0" w:color="auto"/>
              <w:bottom w:val="single" w:sz="4" w:space="0" w:color="auto"/>
            </w:tcBorders>
          </w:tcPr>
          <w:p w14:paraId="7EDB2BD4"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b/>
                <w:bCs/>
                <w:sz w:val="24"/>
                <w:szCs w:val="24"/>
              </w:rPr>
              <w:t>Category</w:t>
            </w:r>
          </w:p>
        </w:tc>
        <w:tc>
          <w:tcPr>
            <w:tcW w:w="0" w:type="auto"/>
            <w:tcBorders>
              <w:top w:val="single" w:sz="4" w:space="0" w:color="auto"/>
              <w:bottom w:val="single" w:sz="4" w:space="0" w:color="auto"/>
            </w:tcBorders>
          </w:tcPr>
          <w:p w14:paraId="392D4E31"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b/>
                <w:bCs/>
                <w:sz w:val="24"/>
                <w:szCs w:val="24"/>
              </w:rPr>
              <w:t>Frequency</w:t>
            </w:r>
          </w:p>
        </w:tc>
        <w:tc>
          <w:tcPr>
            <w:tcW w:w="0" w:type="auto"/>
            <w:tcBorders>
              <w:top w:val="single" w:sz="4" w:space="0" w:color="auto"/>
              <w:bottom w:val="single" w:sz="4" w:space="0" w:color="auto"/>
            </w:tcBorders>
          </w:tcPr>
          <w:p w14:paraId="1A1D701D"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b/>
                <w:bCs/>
                <w:sz w:val="24"/>
                <w:szCs w:val="24"/>
              </w:rPr>
              <w:t>Percentage (%)</w:t>
            </w:r>
          </w:p>
        </w:tc>
      </w:tr>
      <w:tr w:rsidR="001E2EF8" w:rsidRPr="001E2EF8" w14:paraId="6AF726F6" w14:textId="77777777" w:rsidTr="001E2EF8">
        <w:tc>
          <w:tcPr>
            <w:tcW w:w="0" w:type="auto"/>
            <w:tcBorders>
              <w:top w:val="single" w:sz="4" w:space="0" w:color="auto"/>
            </w:tcBorders>
          </w:tcPr>
          <w:p w14:paraId="49263EF9"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b/>
                <w:bCs/>
                <w:sz w:val="24"/>
                <w:szCs w:val="24"/>
              </w:rPr>
              <w:t>Gender</w:t>
            </w:r>
          </w:p>
        </w:tc>
        <w:tc>
          <w:tcPr>
            <w:tcW w:w="0" w:type="auto"/>
            <w:tcBorders>
              <w:top w:val="single" w:sz="4" w:space="0" w:color="auto"/>
            </w:tcBorders>
          </w:tcPr>
          <w:p w14:paraId="5B4AA235"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Male</w:t>
            </w:r>
          </w:p>
        </w:tc>
        <w:tc>
          <w:tcPr>
            <w:tcW w:w="0" w:type="auto"/>
            <w:tcBorders>
              <w:top w:val="single" w:sz="4" w:space="0" w:color="auto"/>
            </w:tcBorders>
          </w:tcPr>
          <w:p w14:paraId="593DBD98"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198</w:t>
            </w:r>
          </w:p>
        </w:tc>
        <w:tc>
          <w:tcPr>
            <w:tcW w:w="0" w:type="auto"/>
            <w:tcBorders>
              <w:top w:val="single" w:sz="4" w:space="0" w:color="auto"/>
            </w:tcBorders>
          </w:tcPr>
          <w:p w14:paraId="309F511A"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63.1</w:t>
            </w:r>
          </w:p>
        </w:tc>
      </w:tr>
      <w:tr w:rsidR="001E2EF8" w:rsidRPr="001E2EF8" w14:paraId="7A43526E" w14:textId="77777777" w:rsidTr="001E2EF8">
        <w:tc>
          <w:tcPr>
            <w:tcW w:w="0" w:type="auto"/>
          </w:tcPr>
          <w:p w14:paraId="269EA760" w14:textId="77777777" w:rsidR="001E2EF8" w:rsidRPr="001E2EF8" w:rsidRDefault="001E2EF8" w:rsidP="001E2EF8">
            <w:pPr>
              <w:jc w:val="both"/>
              <w:rPr>
                <w:rFonts w:ascii="Times New Roman" w:hAnsi="Times New Roman" w:cs="Times New Roman"/>
                <w:sz w:val="24"/>
                <w:szCs w:val="24"/>
              </w:rPr>
            </w:pPr>
          </w:p>
        </w:tc>
        <w:tc>
          <w:tcPr>
            <w:tcW w:w="0" w:type="auto"/>
          </w:tcPr>
          <w:p w14:paraId="2F87D908"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Female</w:t>
            </w:r>
          </w:p>
        </w:tc>
        <w:tc>
          <w:tcPr>
            <w:tcW w:w="0" w:type="auto"/>
          </w:tcPr>
          <w:p w14:paraId="099DC281"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116</w:t>
            </w:r>
          </w:p>
        </w:tc>
        <w:tc>
          <w:tcPr>
            <w:tcW w:w="0" w:type="auto"/>
          </w:tcPr>
          <w:p w14:paraId="043B83FE"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36.9</w:t>
            </w:r>
          </w:p>
        </w:tc>
      </w:tr>
      <w:tr w:rsidR="001E2EF8" w:rsidRPr="001E2EF8" w14:paraId="11D14658" w14:textId="77777777" w:rsidTr="001E2EF8">
        <w:tc>
          <w:tcPr>
            <w:tcW w:w="0" w:type="auto"/>
          </w:tcPr>
          <w:p w14:paraId="03BE37C8"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b/>
                <w:bCs/>
                <w:sz w:val="24"/>
                <w:szCs w:val="24"/>
              </w:rPr>
              <w:t>Age (Years)</w:t>
            </w:r>
          </w:p>
        </w:tc>
        <w:tc>
          <w:tcPr>
            <w:tcW w:w="0" w:type="auto"/>
          </w:tcPr>
          <w:p w14:paraId="336EA3D6"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20–30</w:t>
            </w:r>
          </w:p>
        </w:tc>
        <w:tc>
          <w:tcPr>
            <w:tcW w:w="0" w:type="auto"/>
          </w:tcPr>
          <w:p w14:paraId="36901AB7"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89</w:t>
            </w:r>
          </w:p>
        </w:tc>
        <w:tc>
          <w:tcPr>
            <w:tcW w:w="0" w:type="auto"/>
          </w:tcPr>
          <w:p w14:paraId="515DAD61"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28.3</w:t>
            </w:r>
          </w:p>
        </w:tc>
      </w:tr>
      <w:tr w:rsidR="001E2EF8" w:rsidRPr="001E2EF8" w14:paraId="2C8111B4" w14:textId="77777777" w:rsidTr="001E2EF8">
        <w:tc>
          <w:tcPr>
            <w:tcW w:w="0" w:type="auto"/>
          </w:tcPr>
          <w:p w14:paraId="24846B39" w14:textId="77777777" w:rsidR="001E2EF8" w:rsidRPr="001E2EF8" w:rsidRDefault="001E2EF8" w:rsidP="001E2EF8">
            <w:pPr>
              <w:jc w:val="both"/>
              <w:rPr>
                <w:rFonts w:ascii="Times New Roman" w:hAnsi="Times New Roman" w:cs="Times New Roman"/>
                <w:sz w:val="24"/>
                <w:szCs w:val="24"/>
              </w:rPr>
            </w:pPr>
          </w:p>
        </w:tc>
        <w:tc>
          <w:tcPr>
            <w:tcW w:w="0" w:type="auto"/>
          </w:tcPr>
          <w:p w14:paraId="0712279A"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31–40</w:t>
            </w:r>
          </w:p>
        </w:tc>
        <w:tc>
          <w:tcPr>
            <w:tcW w:w="0" w:type="auto"/>
          </w:tcPr>
          <w:p w14:paraId="5E85F3C5"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132</w:t>
            </w:r>
          </w:p>
        </w:tc>
        <w:tc>
          <w:tcPr>
            <w:tcW w:w="0" w:type="auto"/>
          </w:tcPr>
          <w:p w14:paraId="53E5A894"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42.0</w:t>
            </w:r>
          </w:p>
        </w:tc>
      </w:tr>
      <w:tr w:rsidR="001E2EF8" w:rsidRPr="001E2EF8" w14:paraId="281CF6C6" w14:textId="77777777" w:rsidTr="001E2EF8">
        <w:tc>
          <w:tcPr>
            <w:tcW w:w="0" w:type="auto"/>
          </w:tcPr>
          <w:p w14:paraId="6E90FB5B" w14:textId="77777777" w:rsidR="001E2EF8" w:rsidRPr="001E2EF8" w:rsidRDefault="001E2EF8" w:rsidP="001E2EF8">
            <w:pPr>
              <w:jc w:val="both"/>
              <w:rPr>
                <w:rFonts w:ascii="Times New Roman" w:hAnsi="Times New Roman" w:cs="Times New Roman"/>
                <w:sz w:val="24"/>
                <w:szCs w:val="24"/>
              </w:rPr>
            </w:pPr>
          </w:p>
        </w:tc>
        <w:tc>
          <w:tcPr>
            <w:tcW w:w="0" w:type="auto"/>
          </w:tcPr>
          <w:p w14:paraId="4B07D183"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41–50</w:t>
            </w:r>
          </w:p>
        </w:tc>
        <w:tc>
          <w:tcPr>
            <w:tcW w:w="0" w:type="auto"/>
          </w:tcPr>
          <w:p w14:paraId="05FD6762"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68</w:t>
            </w:r>
          </w:p>
        </w:tc>
        <w:tc>
          <w:tcPr>
            <w:tcW w:w="0" w:type="auto"/>
          </w:tcPr>
          <w:p w14:paraId="6573D771"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21.7</w:t>
            </w:r>
          </w:p>
        </w:tc>
      </w:tr>
      <w:tr w:rsidR="001E2EF8" w:rsidRPr="001E2EF8" w14:paraId="335EA566" w14:textId="77777777" w:rsidTr="001E2EF8">
        <w:tc>
          <w:tcPr>
            <w:tcW w:w="0" w:type="auto"/>
          </w:tcPr>
          <w:p w14:paraId="7A33D2E8" w14:textId="77777777" w:rsidR="001E2EF8" w:rsidRPr="001E2EF8" w:rsidRDefault="001E2EF8" w:rsidP="001E2EF8">
            <w:pPr>
              <w:jc w:val="both"/>
              <w:rPr>
                <w:rFonts w:ascii="Times New Roman" w:hAnsi="Times New Roman" w:cs="Times New Roman"/>
                <w:sz w:val="24"/>
                <w:szCs w:val="24"/>
              </w:rPr>
            </w:pPr>
          </w:p>
        </w:tc>
        <w:tc>
          <w:tcPr>
            <w:tcW w:w="0" w:type="auto"/>
          </w:tcPr>
          <w:p w14:paraId="312F0B56"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51 and above</w:t>
            </w:r>
          </w:p>
        </w:tc>
        <w:tc>
          <w:tcPr>
            <w:tcW w:w="0" w:type="auto"/>
          </w:tcPr>
          <w:p w14:paraId="74D2C239"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25</w:t>
            </w:r>
          </w:p>
        </w:tc>
        <w:tc>
          <w:tcPr>
            <w:tcW w:w="0" w:type="auto"/>
          </w:tcPr>
          <w:p w14:paraId="5471F8B2"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8.0</w:t>
            </w:r>
          </w:p>
        </w:tc>
      </w:tr>
      <w:tr w:rsidR="001E2EF8" w:rsidRPr="001E2EF8" w14:paraId="69C979D2" w14:textId="77777777" w:rsidTr="001E2EF8">
        <w:tc>
          <w:tcPr>
            <w:tcW w:w="0" w:type="auto"/>
          </w:tcPr>
          <w:p w14:paraId="50FC00A3"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b/>
                <w:bCs/>
                <w:sz w:val="24"/>
                <w:szCs w:val="24"/>
              </w:rPr>
              <w:t>Education</w:t>
            </w:r>
          </w:p>
        </w:tc>
        <w:tc>
          <w:tcPr>
            <w:tcW w:w="0" w:type="auto"/>
          </w:tcPr>
          <w:p w14:paraId="6EB14B19"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Bachelor's Degree</w:t>
            </w:r>
          </w:p>
        </w:tc>
        <w:tc>
          <w:tcPr>
            <w:tcW w:w="0" w:type="auto"/>
          </w:tcPr>
          <w:p w14:paraId="229AEEC7"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141</w:t>
            </w:r>
          </w:p>
        </w:tc>
        <w:tc>
          <w:tcPr>
            <w:tcW w:w="0" w:type="auto"/>
          </w:tcPr>
          <w:p w14:paraId="2CC702F7"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44.9</w:t>
            </w:r>
          </w:p>
        </w:tc>
      </w:tr>
      <w:tr w:rsidR="001E2EF8" w:rsidRPr="001E2EF8" w14:paraId="28F2BD50" w14:textId="77777777" w:rsidTr="001E2EF8">
        <w:tc>
          <w:tcPr>
            <w:tcW w:w="0" w:type="auto"/>
          </w:tcPr>
          <w:p w14:paraId="7153610D" w14:textId="77777777" w:rsidR="001E2EF8" w:rsidRPr="001E2EF8" w:rsidRDefault="001E2EF8" w:rsidP="001E2EF8">
            <w:pPr>
              <w:jc w:val="both"/>
              <w:rPr>
                <w:rFonts w:ascii="Times New Roman" w:hAnsi="Times New Roman" w:cs="Times New Roman"/>
                <w:sz w:val="24"/>
                <w:szCs w:val="24"/>
              </w:rPr>
            </w:pPr>
          </w:p>
        </w:tc>
        <w:tc>
          <w:tcPr>
            <w:tcW w:w="0" w:type="auto"/>
          </w:tcPr>
          <w:p w14:paraId="26BF21EA"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Master's Degree</w:t>
            </w:r>
          </w:p>
        </w:tc>
        <w:tc>
          <w:tcPr>
            <w:tcW w:w="0" w:type="auto"/>
          </w:tcPr>
          <w:p w14:paraId="0D84E0F5"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128</w:t>
            </w:r>
          </w:p>
        </w:tc>
        <w:tc>
          <w:tcPr>
            <w:tcW w:w="0" w:type="auto"/>
          </w:tcPr>
          <w:p w14:paraId="3DB6CD67"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40.8</w:t>
            </w:r>
          </w:p>
        </w:tc>
      </w:tr>
      <w:tr w:rsidR="001E2EF8" w:rsidRPr="001E2EF8" w14:paraId="2D410FC9" w14:textId="77777777" w:rsidTr="001E2EF8">
        <w:tc>
          <w:tcPr>
            <w:tcW w:w="0" w:type="auto"/>
          </w:tcPr>
          <w:p w14:paraId="03557830" w14:textId="77777777" w:rsidR="001E2EF8" w:rsidRPr="001E2EF8" w:rsidRDefault="001E2EF8" w:rsidP="001E2EF8">
            <w:pPr>
              <w:jc w:val="both"/>
              <w:rPr>
                <w:rFonts w:ascii="Times New Roman" w:hAnsi="Times New Roman" w:cs="Times New Roman"/>
                <w:sz w:val="24"/>
                <w:szCs w:val="24"/>
              </w:rPr>
            </w:pPr>
          </w:p>
        </w:tc>
        <w:tc>
          <w:tcPr>
            <w:tcW w:w="0" w:type="auto"/>
          </w:tcPr>
          <w:p w14:paraId="00F07FEA"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Other</w:t>
            </w:r>
          </w:p>
        </w:tc>
        <w:tc>
          <w:tcPr>
            <w:tcW w:w="0" w:type="auto"/>
          </w:tcPr>
          <w:p w14:paraId="2567E982"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45</w:t>
            </w:r>
          </w:p>
        </w:tc>
        <w:tc>
          <w:tcPr>
            <w:tcW w:w="0" w:type="auto"/>
          </w:tcPr>
          <w:p w14:paraId="1E75EE3B"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14.3</w:t>
            </w:r>
          </w:p>
        </w:tc>
      </w:tr>
      <w:tr w:rsidR="001E2EF8" w:rsidRPr="001E2EF8" w14:paraId="69DDC9AD" w14:textId="77777777" w:rsidTr="001E2EF8">
        <w:tc>
          <w:tcPr>
            <w:tcW w:w="0" w:type="auto"/>
          </w:tcPr>
          <w:p w14:paraId="340752A5"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b/>
                <w:bCs/>
                <w:sz w:val="24"/>
                <w:szCs w:val="24"/>
              </w:rPr>
              <w:t>Experience (Years)</w:t>
            </w:r>
          </w:p>
        </w:tc>
        <w:tc>
          <w:tcPr>
            <w:tcW w:w="0" w:type="auto"/>
          </w:tcPr>
          <w:p w14:paraId="17FA641D"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1–5</w:t>
            </w:r>
          </w:p>
        </w:tc>
        <w:tc>
          <w:tcPr>
            <w:tcW w:w="0" w:type="auto"/>
          </w:tcPr>
          <w:p w14:paraId="7BDF7866"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96</w:t>
            </w:r>
          </w:p>
        </w:tc>
        <w:tc>
          <w:tcPr>
            <w:tcW w:w="0" w:type="auto"/>
          </w:tcPr>
          <w:p w14:paraId="471ACAAA"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30.6</w:t>
            </w:r>
          </w:p>
        </w:tc>
      </w:tr>
      <w:tr w:rsidR="001E2EF8" w:rsidRPr="001E2EF8" w14:paraId="314BE478" w14:textId="77777777" w:rsidTr="001E2EF8">
        <w:tc>
          <w:tcPr>
            <w:tcW w:w="0" w:type="auto"/>
          </w:tcPr>
          <w:p w14:paraId="7C8EDD97" w14:textId="77777777" w:rsidR="001E2EF8" w:rsidRPr="001E2EF8" w:rsidRDefault="001E2EF8" w:rsidP="001E2EF8">
            <w:pPr>
              <w:jc w:val="both"/>
              <w:rPr>
                <w:rFonts w:ascii="Times New Roman" w:hAnsi="Times New Roman" w:cs="Times New Roman"/>
                <w:sz w:val="24"/>
                <w:szCs w:val="24"/>
              </w:rPr>
            </w:pPr>
          </w:p>
        </w:tc>
        <w:tc>
          <w:tcPr>
            <w:tcW w:w="0" w:type="auto"/>
          </w:tcPr>
          <w:p w14:paraId="0FD7F1B4"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6–10</w:t>
            </w:r>
          </w:p>
        </w:tc>
        <w:tc>
          <w:tcPr>
            <w:tcW w:w="0" w:type="auto"/>
          </w:tcPr>
          <w:p w14:paraId="6A604601"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118</w:t>
            </w:r>
          </w:p>
        </w:tc>
        <w:tc>
          <w:tcPr>
            <w:tcW w:w="0" w:type="auto"/>
          </w:tcPr>
          <w:p w14:paraId="0A6A7660"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37.6</w:t>
            </w:r>
          </w:p>
        </w:tc>
      </w:tr>
      <w:tr w:rsidR="001E2EF8" w:rsidRPr="001E2EF8" w14:paraId="429BDC29" w14:textId="77777777" w:rsidTr="001E2EF8">
        <w:tc>
          <w:tcPr>
            <w:tcW w:w="0" w:type="auto"/>
          </w:tcPr>
          <w:p w14:paraId="47888DC9" w14:textId="77777777" w:rsidR="001E2EF8" w:rsidRPr="001E2EF8" w:rsidRDefault="001E2EF8" w:rsidP="001E2EF8">
            <w:pPr>
              <w:jc w:val="both"/>
              <w:rPr>
                <w:rFonts w:ascii="Times New Roman" w:hAnsi="Times New Roman" w:cs="Times New Roman"/>
                <w:sz w:val="24"/>
                <w:szCs w:val="24"/>
              </w:rPr>
            </w:pPr>
          </w:p>
        </w:tc>
        <w:tc>
          <w:tcPr>
            <w:tcW w:w="0" w:type="auto"/>
          </w:tcPr>
          <w:p w14:paraId="5CB428B7"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11–15</w:t>
            </w:r>
          </w:p>
        </w:tc>
        <w:tc>
          <w:tcPr>
            <w:tcW w:w="0" w:type="auto"/>
          </w:tcPr>
          <w:p w14:paraId="068AE660"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72</w:t>
            </w:r>
          </w:p>
        </w:tc>
        <w:tc>
          <w:tcPr>
            <w:tcW w:w="0" w:type="auto"/>
          </w:tcPr>
          <w:p w14:paraId="19B4A7F3"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22.9</w:t>
            </w:r>
          </w:p>
        </w:tc>
      </w:tr>
      <w:tr w:rsidR="001E2EF8" w:rsidRPr="001E2EF8" w14:paraId="22A63C73" w14:textId="77777777" w:rsidTr="001E2EF8">
        <w:tc>
          <w:tcPr>
            <w:tcW w:w="0" w:type="auto"/>
          </w:tcPr>
          <w:p w14:paraId="7059E449" w14:textId="77777777" w:rsidR="001E2EF8" w:rsidRPr="001E2EF8" w:rsidRDefault="001E2EF8" w:rsidP="001E2EF8">
            <w:pPr>
              <w:jc w:val="both"/>
              <w:rPr>
                <w:rFonts w:ascii="Times New Roman" w:hAnsi="Times New Roman" w:cs="Times New Roman"/>
                <w:sz w:val="24"/>
                <w:szCs w:val="24"/>
              </w:rPr>
            </w:pPr>
          </w:p>
        </w:tc>
        <w:tc>
          <w:tcPr>
            <w:tcW w:w="0" w:type="auto"/>
          </w:tcPr>
          <w:p w14:paraId="4397CB17"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16 and above</w:t>
            </w:r>
          </w:p>
        </w:tc>
        <w:tc>
          <w:tcPr>
            <w:tcW w:w="0" w:type="auto"/>
          </w:tcPr>
          <w:p w14:paraId="315713E3"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28</w:t>
            </w:r>
          </w:p>
        </w:tc>
        <w:tc>
          <w:tcPr>
            <w:tcW w:w="0" w:type="auto"/>
          </w:tcPr>
          <w:p w14:paraId="74A2BFD5"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8.9</w:t>
            </w:r>
          </w:p>
        </w:tc>
      </w:tr>
      <w:tr w:rsidR="001E2EF8" w:rsidRPr="001E2EF8" w14:paraId="6743B8F5" w14:textId="77777777" w:rsidTr="001E2EF8">
        <w:tc>
          <w:tcPr>
            <w:tcW w:w="0" w:type="auto"/>
          </w:tcPr>
          <w:p w14:paraId="5E69DB2C"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b/>
                <w:bCs/>
                <w:sz w:val="24"/>
                <w:szCs w:val="24"/>
              </w:rPr>
              <w:t>Marital Status</w:t>
            </w:r>
          </w:p>
        </w:tc>
        <w:tc>
          <w:tcPr>
            <w:tcW w:w="0" w:type="auto"/>
          </w:tcPr>
          <w:p w14:paraId="1E0A0732"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Single</w:t>
            </w:r>
          </w:p>
        </w:tc>
        <w:tc>
          <w:tcPr>
            <w:tcW w:w="0" w:type="auto"/>
          </w:tcPr>
          <w:p w14:paraId="01C2C556"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119</w:t>
            </w:r>
          </w:p>
        </w:tc>
        <w:tc>
          <w:tcPr>
            <w:tcW w:w="0" w:type="auto"/>
          </w:tcPr>
          <w:p w14:paraId="28192240"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37.9</w:t>
            </w:r>
          </w:p>
        </w:tc>
      </w:tr>
      <w:tr w:rsidR="001E2EF8" w:rsidRPr="001E2EF8" w14:paraId="231CE439" w14:textId="77777777" w:rsidTr="001E2EF8">
        <w:trPr>
          <w:trHeight w:val="80"/>
        </w:trPr>
        <w:tc>
          <w:tcPr>
            <w:tcW w:w="0" w:type="auto"/>
          </w:tcPr>
          <w:p w14:paraId="2C1B7954" w14:textId="77777777" w:rsidR="001E2EF8" w:rsidRPr="001E2EF8" w:rsidRDefault="001E2EF8" w:rsidP="001E2EF8">
            <w:pPr>
              <w:jc w:val="both"/>
              <w:rPr>
                <w:rFonts w:ascii="Times New Roman" w:hAnsi="Times New Roman" w:cs="Times New Roman"/>
                <w:sz w:val="24"/>
                <w:szCs w:val="24"/>
              </w:rPr>
            </w:pPr>
          </w:p>
        </w:tc>
        <w:tc>
          <w:tcPr>
            <w:tcW w:w="0" w:type="auto"/>
          </w:tcPr>
          <w:p w14:paraId="350A5BB1"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Married</w:t>
            </w:r>
          </w:p>
        </w:tc>
        <w:tc>
          <w:tcPr>
            <w:tcW w:w="0" w:type="auto"/>
          </w:tcPr>
          <w:p w14:paraId="696C5669"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195</w:t>
            </w:r>
          </w:p>
        </w:tc>
        <w:tc>
          <w:tcPr>
            <w:tcW w:w="0" w:type="auto"/>
          </w:tcPr>
          <w:p w14:paraId="7C3BF46D"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62.1</w:t>
            </w:r>
          </w:p>
        </w:tc>
      </w:tr>
    </w:tbl>
    <w:p w14:paraId="6536409A" w14:textId="77777777" w:rsidR="001E2EF8" w:rsidRDefault="001E2EF8" w:rsidP="001E2EF8">
      <w:pPr>
        <w:jc w:val="both"/>
        <w:rPr>
          <w:rFonts w:ascii="Times New Roman" w:hAnsi="Times New Roman" w:cs="Times New Roman"/>
          <w:b/>
          <w:bCs/>
          <w:sz w:val="24"/>
          <w:szCs w:val="24"/>
        </w:rPr>
      </w:pPr>
    </w:p>
    <w:p w14:paraId="266C2478" w14:textId="30B9DBE9" w:rsidR="001E2EF8" w:rsidRPr="001E2EF8" w:rsidRDefault="001E2EF8" w:rsidP="001E2EF8">
      <w:pPr>
        <w:jc w:val="both"/>
        <w:rPr>
          <w:rFonts w:ascii="Times New Roman" w:hAnsi="Times New Roman" w:cs="Times New Roman"/>
          <w:b/>
          <w:bCs/>
          <w:sz w:val="24"/>
          <w:szCs w:val="24"/>
        </w:rPr>
      </w:pPr>
      <w:r w:rsidRPr="001E2EF8">
        <w:rPr>
          <w:rFonts w:ascii="Times New Roman" w:hAnsi="Times New Roman" w:cs="Times New Roman"/>
          <w:b/>
          <w:bCs/>
          <w:sz w:val="24"/>
          <w:szCs w:val="24"/>
        </w:rPr>
        <w:t>Descriptive Statistics</w:t>
      </w:r>
    </w:p>
    <w:p w14:paraId="61497419" w14:textId="218ACA01"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Table 2 shows descriptive statistics of the three key study variables. The average scores of all the variables were higher than the mid-range of the scale (3.0), which indicated a positive perception predominantly by the respondents. The skewness and kurtosis values were under acceptable limits (±1.0), indicating the presence of approximately normal distributions.</w:t>
      </w:r>
    </w:p>
    <w:p w14:paraId="59F7BFFE" w14:textId="77777777" w:rsidR="001E2EF8" w:rsidRPr="001E2EF8" w:rsidRDefault="001E2EF8" w:rsidP="001E2EF8">
      <w:pPr>
        <w:jc w:val="both"/>
        <w:rPr>
          <w:rFonts w:ascii="Times New Roman" w:hAnsi="Times New Roman" w:cs="Times New Roman"/>
          <w:b/>
          <w:bCs/>
          <w:sz w:val="24"/>
          <w:szCs w:val="24"/>
        </w:rPr>
      </w:pPr>
      <w:r w:rsidRPr="001E2EF8">
        <w:rPr>
          <w:rFonts w:ascii="Times New Roman" w:hAnsi="Times New Roman" w:cs="Times New Roman"/>
          <w:b/>
          <w:bCs/>
          <w:sz w:val="24"/>
          <w:szCs w:val="24"/>
        </w:rPr>
        <w:t>Table 2: Descriptive Statistics for Study Variables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2"/>
        <w:gridCol w:w="1190"/>
        <w:gridCol w:w="1097"/>
      </w:tblGrid>
      <w:tr w:rsidR="001E2EF8" w:rsidRPr="001E2EF8" w14:paraId="03DAFD81" w14:textId="77777777" w:rsidTr="001E2EF8">
        <w:trPr>
          <w:trHeight w:val="402"/>
        </w:trPr>
        <w:tc>
          <w:tcPr>
            <w:tcW w:w="0" w:type="auto"/>
            <w:tcBorders>
              <w:top w:val="single" w:sz="4" w:space="0" w:color="auto"/>
              <w:bottom w:val="single" w:sz="4" w:space="0" w:color="auto"/>
            </w:tcBorders>
          </w:tcPr>
          <w:p w14:paraId="108D561B"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b/>
                <w:bCs/>
                <w:sz w:val="24"/>
                <w:szCs w:val="24"/>
              </w:rPr>
              <w:t>Variable</w:t>
            </w:r>
          </w:p>
        </w:tc>
        <w:tc>
          <w:tcPr>
            <w:tcW w:w="0" w:type="auto"/>
            <w:tcBorders>
              <w:top w:val="single" w:sz="4" w:space="0" w:color="auto"/>
              <w:bottom w:val="single" w:sz="4" w:space="0" w:color="auto"/>
            </w:tcBorders>
          </w:tcPr>
          <w:p w14:paraId="192D13B1"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b/>
                <w:bCs/>
                <w:sz w:val="24"/>
                <w:szCs w:val="24"/>
              </w:rPr>
              <w:t>Skewness</w:t>
            </w:r>
          </w:p>
        </w:tc>
        <w:tc>
          <w:tcPr>
            <w:tcW w:w="0" w:type="auto"/>
            <w:tcBorders>
              <w:top w:val="single" w:sz="4" w:space="0" w:color="auto"/>
              <w:bottom w:val="single" w:sz="4" w:space="0" w:color="auto"/>
            </w:tcBorders>
          </w:tcPr>
          <w:p w14:paraId="71592485"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b/>
                <w:bCs/>
                <w:sz w:val="24"/>
                <w:szCs w:val="24"/>
              </w:rPr>
              <w:t>Kurtosis</w:t>
            </w:r>
          </w:p>
        </w:tc>
      </w:tr>
      <w:tr w:rsidR="001E2EF8" w:rsidRPr="001E2EF8" w14:paraId="332C9990" w14:textId="77777777" w:rsidTr="001E2EF8">
        <w:trPr>
          <w:trHeight w:val="417"/>
        </w:trPr>
        <w:tc>
          <w:tcPr>
            <w:tcW w:w="0" w:type="auto"/>
            <w:tcBorders>
              <w:top w:val="single" w:sz="4" w:space="0" w:color="auto"/>
            </w:tcBorders>
          </w:tcPr>
          <w:p w14:paraId="033BE2A8"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Core Self-Evaluations (CSE)</w:t>
            </w:r>
          </w:p>
        </w:tc>
        <w:tc>
          <w:tcPr>
            <w:tcW w:w="0" w:type="auto"/>
            <w:tcBorders>
              <w:top w:val="single" w:sz="4" w:space="0" w:color="auto"/>
            </w:tcBorders>
          </w:tcPr>
          <w:p w14:paraId="2B7301A0"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-0.24</w:t>
            </w:r>
          </w:p>
        </w:tc>
        <w:tc>
          <w:tcPr>
            <w:tcW w:w="0" w:type="auto"/>
            <w:tcBorders>
              <w:top w:val="single" w:sz="4" w:space="0" w:color="auto"/>
            </w:tcBorders>
          </w:tcPr>
          <w:p w14:paraId="7612329D"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0.18</w:t>
            </w:r>
          </w:p>
        </w:tc>
      </w:tr>
      <w:tr w:rsidR="001E2EF8" w:rsidRPr="001E2EF8" w14:paraId="3603041A" w14:textId="77777777" w:rsidTr="001E2EF8">
        <w:trPr>
          <w:trHeight w:val="402"/>
        </w:trPr>
        <w:tc>
          <w:tcPr>
            <w:tcW w:w="0" w:type="auto"/>
          </w:tcPr>
          <w:p w14:paraId="510BEBC6"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Job Satisfaction (JS)</w:t>
            </w:r>
          </w:p>
        </w:tc>
        <w:tc>
          <w:tcPr>
            <w:tcW w:w="0" w:type="auto"/>
          </w:tcPr>
          <w:p w14:paraId="5160E930"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-0.31</w:t>
            </w:r>
          </w:p>
        </w:tc>
        <w:tc>
          <w:tcPr>
            <w:tcW w:w="0" w:type="auto"/>
          </w:tcPr>
          <w:p w14:paraId="0DDEC39D"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0.22</w:t>
            </w:r>
          </w:p>
        </w:tc>
      </w:tr>
      <w:tr w:rsidR="001E2EF8" w:rsidRPr="001E2EF8" w14:paraId="0C4AB89A" w14:textId="77777777" w:rsidTr="001E2EF8">
        <w:trPr>
          <w:trHeight w:val="402"/>
        </w:trPr>
        <w:tc>
          <w:tcPr>
            <w:tcW w:w="0" w:type="auto"/>
          </w:tcPr>
          <w:p w14:paraId="2CC1176A"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Organizational Commitment (OC)</w:t>
            </w:r>
          </w:p>
        </w:tc>
        <w:tc>
          <w:tcPr>
            <w:tcW w:w="0" w:type="auto"/>
          </w:tcPr>
          <w:p w14:paraId="06ABF94E"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-0.19</w:t>
            </w:r>
          </w:p>
        </w:tc>
        <w:tc>
          <w:tcPr>
            <w:tcW w:w="0" w:type="auto"/>
          </w:tcPr>
          <w:p w14:paraId="0E87D6DE"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0.14</w:t>
            </w:r>
          </w:p>
        </w:tc>
      </w:tr>
    </w:tbl>
    <w:p w14:paraId="115268CA" w14:textId="77777777" w:rsidR="001E2EF8" w:rsidRDefault="001E2EF8" w:rsidP="001E2EF8">
      <w:pPr>
        <w:jc w:val="both"/>
        <w:rPr>
          <w:rFonts w:ascii="Times New Roman" w:hAnsi="Times New Roman" w:cs="Times New Roman"/>
          <w:b/>
          <w:bCs/>
          <w:sz w:val="24"/>
          <w:szCs w:val="24"/>
        </w:rPr>
      </w:pPr>
    </w:p>
    <w:p w14:paraId="29989708" w14:textId="6D592E4E" w:rsidR="001E2EF8" w:rsidRPr="001E2EF8" w:rsidRDefault="001E2EF8" w:rsidP="001E2EF8">
      <w:pPr>
        <w:jc w:val="both"/>
        <w:rPr>
          <w:rFonts w:ascii="Times New Roman" w:hAnsi="Times New Roman" w:cs="Times New Roman"/>
          <w:b/>
          <w:bCs/>
          <w:sz w:val="24"/>
          <w:szCs w:val="24"/>
        </w:rPr>
      </w:pPr>
      <w:r w:rsidRPr="001E2EF8">
        <w:rPr>
          <w:rFonts w:ascii="Times New Roman" w:hAnsi="Times New Roman" w:cs="Times New Roman"/>
          <w:b/>
          <w:bCs/>
          <w:sz w:val="24"/>
          <w:szCs w:val="24"/>
        </w:rPr>
        <w:t>Reliability Analysis</w:t>
      </w:r>
    </w:p>
    <w:p w14:paraId="5DE6D264"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Cronbach alpha coefficients of all three scales are reported in Table 3. Each of the scales showed high internal consistency (&gt; .80), higher than the generally accepted level of .70 (Nunnally, 1978). The findings justify the validity of the measurement tools in the current study.</w:t>
      </w:r>
    </w:p>
    <w:p w14:paraId="7B2220EA" w14:textId="77777777" w:rsidR="001E2EF8" w:rsidRPr="001E2EF8" w:rsidRDefault="001E2EF8" w:rsidP="001E2EF8">
      <w:pPr>
        <w:jc w:val="both"/>
        <w:rPr>
          <w:rFonts w:ascii="Times New Roman" w:hAnsi="Times New Roman" w:cs="Times New Roman"/>
          <w:b/>
          <w:bCs/>
          <w:sz w:val="24"/>
          <w:szCs w:val="24"/>
        </w:rPr>
      </w:pPr>
      <w:r w:rsidRPr="001E2EF8">
        <w:rPr>
          <w:rFonts w:ascii="Times New Roman" w:hAnsi="Times New Roman" w:cs="Times New Roman"/>
          <w:b/>
          <w:bCs/>
          <w:sz w:val="24"/>
          <w:szCs w:val="24"/>
        </w:rPr>
        <w:lastRenderedPageBreak/>
        <w:t>Table 3: Reliability Statistics for Study Scales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2"/>
        <w:gridCol w:w="1463"/>
        <w:gridCol w:w="1597"/>
      </w:tblGrid>
      <w:tr w:rsidR="001E2EF8" w:rsidRPr="001E2EF8" w14:paraId="474A487E" w14:textId="77777777" w:rsidTr="001E2EF8">
        <w:trPr>
          <w:trHeight w:val="415"/>
        </w:trPr>
        <w:tc>
          <w:tcPr>
            <w:tcW w:w="0" w:type="auto"/>
            <w:tcBorders>
              <w:top w:val="single" w:sz="4" w:space="0" w:color="auto"/>
              <w:bottom w:val="single" w:sz="4" w:space="0" w:color="auto"/>
            </w:tcBorders>
          </w:tcPr>
          <w:p w14:paraId="6755A1FF"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b/>
                <w:bCs/>
                <w:sz w:val="24"/>
                <w:szCs w:val="24"/>
              </w:rPr>
              <w:t>Scale</w:t>
            </w:r>
          </w:p>
        </w:tc>
        <w:tc>
          <w:tcPr>
            <w:tcW w:w="0" w:type="auto"/>
            <w:tcBorders>
              <w:top w:val="single" w:sz="4" w:space="0" w:color="auto"/>
              <w:bottom w:val="single" w:sz="4" w:space="0" w:color="auto"/>
            </w:tcBorders>
          </w:tcPr>
          <w:p w14:paraId="5B34B08A"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b/>
                <w:bCs/>
                <w:sz w:val="24"/>
                <w:szCs w:val="24"/>
              </w:rPr>
              <w:t>No. of Items</w:t>
            </w:r>
          </w:p>
        </w:tc>
        <w:tc>
          <w:tcPr>
            <w:tcW w:w="0" w:type="auto"/>
            <w:tcBorders>
              <w:top w:val="single" w:sz="4" w:space="0" w:color="auto"/>
              <w:bottom w:val="single" w:sz="4" w:space="0" w:color="auto"/>
            </w:tcBorders>
          </w:tcPr>
          <w:p w14:paraId="0F659679"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b/>
                <w:bCs/>
                <w:sz w:val="24"/>
                <w:szCs w:val="24"/>
              </w:rPr>
              <w:t>Cronbach's α</w:t>
            </w:r>
          </w:p>
        </w:tc>
      </w:tr>
      <w:tr w:rsidR="001E2EF8" w:rsidRPr="001E2EF8" w14:paraId="01394173" w14:textId="77777777" w:rsidTr="001E2EF8">
        <w:trPr>
          <w:trHeight w:val="431"/>
        </w:trPr>
        <w:tc>
          <w:tcPr>
            <w:tcW w:w="0" w:type="auto"/>
            <w:tcBorders>
              <w:top w:val="single" w:sz="4" w:space="0" w:color="auto"/>
            </w:tcBorders>
          </w:tcPr>
          <w:p w14:paraId="07CBEDE2"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Core Self-Evaluations (CSE)</w:t>
            </w:r>
          </w:p>
        </w:tc>
        <w:tc>
          <w:tcPr>
            <w:tcW w:w="0" w:type="auto"/>
            <w:tcBorders>
              <w:top w:val="single" w:sz="4" w:space="0" w:color="auto"/>
            </w:tcBorders>
          </w:tcPr>
          <w:p w14:paraId="35719DFE"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12</w:t>
            </w:r>
          </w:p>
        </w:tc>
        <w:tc>
          <w:tcPr>
            <w:tcW w:w="0" w:type="auto"/>
            <w:tcBorders>
              <w:top w:val="single" w:sz="4" w:space="0" w:color="auto"/>
            </w:tcBorders>
          </w:tcPr>
          <w:p w14:paraId="62C6D72A"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0.861</w:t>
            </w:r>
          </w:p>
        </w:tc>
      </w:tr>
      <w:tr w:rsidR="001E2EF8" w:rsidRPr="001E2EF8" w14:paraId="098412E7" w14:textId="77777777" w:rsidTr="001E2EF8">
        <w:trPr>
          <w:trHeight w:val="415"/>
        </w:trPr>
        <w:tc>
          <w:tcPr>
            <w:tcW w:w="0" w:type="auto"/>
          </w:tcPr>
          <w:p w14:paraId="0C908E6E"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Job Satisfaction (JS)</w:t>
            </w:r>
          </w:p>
        </w:tc>
        <w:tc>
          <w:tcPr>
            <w:tcW w:w="0" w:type="auto"/>
          </w:tcPr>
          <w:p w14:paraId="20B4C78A"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10</w:t>
            </w:r>
          </w:p>
        </w:tc>
        <w:tc>
          <w:tcPr>
            <w:tcW w:w="0" w:type="auto"/>
          </w:tcPr>
          <w:p w14:paraId="5257B33D"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0.843</w:t>
            </w:r>
          </w:p>
        </w:tc>
      </w:tr>
      <w:tr w:rsidR="001E2EF8" w:rsidRPr="001E2EF8" w14:paraId="32519AC0" w14:textId="77777777" w:rsidTr="001E2EF8">
        <w:trPr>
          <w:trHeight w:val="415"/>
        </w:trPr>
        <w:tc>
          <w:tcPr>
            <w:tcW w:w="0" w:type="auto"/>
          </w:tcPr>
          <w:p w14:paraId="2AD5DAB9"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Organizational Commitment (OC)</w:t>
            </w:r>
          </w:p>
        </w:tc>
        <w:tc>
          <w:tcPr>
            <w:tcW w:w="0" w:type="auto"/>
          </w:tcPr>
          <w:p w14:paraId="6934A486"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15</w:t>
            </w:r>
          </w:p>
        </w:tc>
        <w:tc>
          <w:tcPr>
            <w:tcW w:w="0" w:type="auto"/>
          </w:tcPr>
          <w:p w14:paraId="2398A729"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0.879</w:t>
            </w:r>
          </w:p>
        </w:tc>
      </w:tr>
    </w:tbl>
    <w:p w14:paraId="59DADC45" w14:textId="77777777" w:rsidR="001E2EF8" w:rsidRDefault="001E2EF8" w:rsidP="001E2EF8">
      <w:pPr>
        <w:jc w:val="both"/>
        <w:rPr>
          <w:rFonts w:ascii="Times New Roman" w:hAnsi="Times New Roman" w:cs="Times New Roman"/>
          <w:b/>
          <w:bCs/>
          <w:sz w:val="24"/>
          <w:szCs w:val="24"/>
        </w:rPr>
      </w:pPr>
    </w:p>
    <w:p w14:paraId="7FAA7CD5" w14:textId="647439D0" w:rsidR="001E2EF8" w:rsidRPr="001E2EF8" w:rsidRDefault="001E2EF8" w:rsidP="001E2EF8">
      <w:pPr>
        <w:jc w:val="both"/>
        <w:rPr>
          <w:rFonts w:ascii="Times New Roman" w:hAnsi="Times New Roman" w:cs="Times New Roman"/>
          <w:b/>
          <w:bCs/>
          <w:sz w:val="24"/>
          <w:szCs w:val="24"/>
        </w:rPr>
      </w:pPr>
      <w:r w:rsidRPr="001E2EF8">
        <w:rPr>
          <w:rFonts w:ascii="Times New Roman" w:hAnsi="Times New Roman" w:cs="Times New Roman"/>
          <w:b/>
          <w:bCs/>
          <w:sz w:val="24"/>
          <w:szCs w:val="24"/>
        </w:rPr>
        <w:t xml:space="preserve">Correlation Analysis </w:t>
      </w:r>
    </w:p>
    <w:p w14:paraId="4A83E35A" w14:textId="77777777" w:rsidR="001E2EF8" w:rsidRPr="001E2EF8" w:rsidRDefault="001E2EF8" w:rsidP="001E2EF8">
      <w:pPr>
        <w:jc w:val="both"/>
        <w:rPr>
          <w:rFonts w:ascii="Times New Roman" w:hAnsi="Times New Roman" w:cs="Times New Roman"/>
          <w:b/>
          <w:bCs/>
          <w:sz w:val="24"/>
          <w:szCs w:val="24"/>
        </w:rPr>
      </w:pPr>
      <w:r w:rsidRPr="001E2EF8">
        <w:rPr>
          <w:rFonts w:ascii="Times New Roman" w:hAnsi="Times New Roman" w:cs="Times New Roman"/>
          <w:sz w:val="24"/>
          <w:szCs w:val="24"/>
        </w:rPr>
        <w:t>The means, standard deviations, Cronbach’s alphas and the intercorrelations of the three variables of the study are reported in Table 4. The results supported H1 and H2 as CSE had a significant positive correlation with job satisfaction (r =.563, p &lt;.01) and organisational commitment (r =.541, p &lt;.01). The organisational commitment was also significantly positively correlated with job satisfaction (r = .598, p &lt; .01), which was in support of H3. All the correlations were of moderate magnitude, suggesting non-redundant but substantive associations.</w:t>
      </w:r>
    </w:p>
    <w:p w14:paraId="40B5C3CB" w14:textId="77777777" w:rsidR="001E2EF8" w:rsidRPr="001E2EF8" w:rsidRDefault="001E2EF8" w:rsidP="001E2EF8">
      <w:pPr>
        <w:jc w:val="both"/>
        <w:rPr>
          <w:rFonts w:ascii="Times New Roman" w:hAnsi="Times New Roman" w:cs="Times New Roman"/>
          <w:b/>
          <w:bCs/>
          <w:sz w:val="24"/>
          <w:szCs w:val="24"/>
        </w:rPr>
      </w:pPr>
      <w:r w:rsidRPr="001E2EF8">
        <w:rPr>
          <w:rFonts w:ascii="Times New Roman" w:hAnsi="Times New Roman" w:cs="Times New Roman"/>
          <w:b/>
          <w:bCs/>
          <w:sz w:val="24"/>
          <w:szCs w:val="24"/>
        </w:rPr>
        <w:t>Table 4: Means, Standard Deviations and Intercorrelations</w:t>
      </w:r>
    </w:p>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05"/>
        <w:gridCol w:w="985"/>
        <w:gridCol w:w="781"/>
        <w:gridCol w:w="1075"/>
        <w:gridCol w:w="1075"/>
        <w:gridCol w:w="413"/>
        <w:gridCol w:w="272"/>
      </w:tblGrid>
      <w:tr w:rsidR="001E2EF8" w:rsidRPr="001E2EF8" w14:paraId="3240F95F" w14:textId="77777777" w:rsidTr="001E2EF8">
        <w:tc>
          <w:tcPr>
            <w:tcW w:w="0" w:type="auto"/>
            <w:tcBorders>
              <w:top w:val="single" w:sz="4" w:space="0" w:color="auto"/>
            </w:tcBorders>
          </w:tcPr>
          <w:p w14:paraId="18252342"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b/>
                <w:bCs/>
                <w:sz w:val="24"/>
                <w:szCs w:val="24"/>
              </w:rPr>
              <w:t>Variable</w:t>
            </w:r>
          </w:p>
        </w:tc>
        <w:tc>
          <w:tcPr>
            <w:tcW w:w="0" w:type="auto"/>
            <w:tcBorders>
              <w:top w:val="single" w:sz="4" w:space="0" w:color="auto"/>
            </w:tcBorders>
          </w:tcPr>
          <w:p w14:paraId="63C64CA7"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b/>
                <w:bCs/>
                <w:sz w:val="24"/>
                <w:szCs w:val="24"/>
              </w:rPr>
              <w:t>Mean</w:t>
            </w:r>
          </w:p>
        </w:tc>
        <w:tc>
          <w:tcPr>
            <w:tcW w:w="0" w:type="auto"/>
            <w:tcBorders>
              <w:top w:val="single" w:sz="4" w:space="0" w:color="auto"/>
            </w:tcBorders>
          </w:tcPr>
          <w:p w14:paraId="49778CEB"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b/>
                <w:bCs/>
                <w:sz w:val="24"/>
                <w:szCs w:val="24"/>
              </w:rPr>
              <w:t>SD</w:t>
            </w:r>
          </w:p>
        </w:tc>
        <w:tc>
          <w:tcPr>
            <w:tcW w:w="0" w:type="auto"/>
            <w:tcBorders>
              <w:top w:val="single" w:sz="4" w:space="0" w:color="auto"/>
            </w:tcBorders>
          </w:tcPr>
          <w:p w14:paraId="0A65DC94"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b/>
                <w:bCs/>
                <w:sz w:val="24"/>
                <w:szCs w:val="24"/>
              </w:rPr>
              <w:t>1</w:t>
            </w:r>
          </w:p>
        </w:tc>
        <w:tc>
          <w:tcPr>
            <w:tcW w:w="0" w:type="auto"/>
            <w:tcBorders>
              <w:top w:val="single" w:sz="4" w:space="0" w:color="auto"/>
            </w:tcBorders>
          </w:tcPr>
          <w:p w14:paraId="00CBDF01"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b/>
                <w:bCs/>
                <w:sz w:val="24"/>
                <w:szCs w:val="24"/>
              </w:rPr>
              <w:t>2</w:t>
            </w:r>
          </w:p>
        </w:tc>
        <w:tc>
          <w:tcPr>
            <w:tcW w:w="0" w:type="auto"/>
            <w:tcBorders>
              <w:top w:val="single" w:sz="4" w:space="0" w:color="auto"/>
            </w:tcBorders>
          </w:tcPr>
          <w:p w14:paraId="2836D68C"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b/>
                <w:bCs/>
                <w:sz w:val="24"/>
                <w:szCs w:val="24"/>
              </w:rPr>
              <w:t>3</w:t>
            </w:r>
          </w:p>
        </w:tc>
        <w:tc>
          <w:tcPr>
            <w:tcW w:w="0" w:type="auto"/>
            <w:tcBorders>
              <w:top w:val="single" w:sz="4" w:space="0" w:color="auto"/>
            </w:tcBorders>
          </w:tcPr>
          <w:p w14:paraId="5AD180A4" w14:textId="77777777" w:rsidR="001E2EF8" w:rsidRPr="001E2EF8" w:rsidRDefault="001E2EF8" w:rsidP="001E2EF8">
            <w:pPr>
              <w:jc w:val="both"/>
              <w:rPr>
                <w:rFonts w:ascii="Times New Roman" w:hAnsi="Times New Roman" w:cs="Times New Roman"/>
                <w:sz w:val="24"/>
                <w:szCs w:val="24"/>
              </w:rPr>
            </w:pPr>
          </w:p>
        </w:tc>
      </w:tr>
      <w:tr w:rsidR="001E2EF8" w:rsidRPr="001E2EF8" w14:paraId="56B0A637" w14:textId="77777777" w:rsidTr="001E2EF8">
        <w:tc>
          <w:tcPr>
            <w:tcW w:w="0" w:type="auto"/>
            <w:tcBorders>
              <w:top w:val="nil"/>
            </w:tcBorders>
          </w:tcPr>
          <w:p w14:paraId="01AB6EF5"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1. Core Self-Evaluations</w:t>
            </w:r>
          </w:p>
        </w:tc>
        <w:tc>
          <w:tcPr>
            <w:tcW w:w="0" w:type="auto"/>
            <w:tcBorders>
              <w:top w:val="nil"/>
            </w:tcBorders>
          </w:tcPr>
          <w:p w14:paraId="28CC5E62"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3.74</w:t>
            </w:r>
          </w:p>
        </w:tc>
        <w:tc>
          <w:tcPr>
            <w:tcW w:w="0" w:type="auto"/>
            <w:tcBorders>
              <w:top w:val="nil"/>
            </w:tcBorders>
          </w:tcPr>
          <w:p w14:paraId="434DA3FB"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0.61</w:t>
            </w:r>
          </w:p>
        </w:tc>
        <w:tc>
          <w:tcPr>
            <w:tcW w:w="0" w:type="auto"/>
            <w:tcBorders>
              <w:top w:val="nil"/>
            </w:tcBorders>
          </w:tcPr>
          <w:p w14:paraId="14989E84" w14:textId="77777777" w:rsidR="001E2EF8" w:rsidRPr="001E2EF8" w:rsidRDefault="001E2EF8" w:rsidP="001E2EF8">
            <w:pPr>
              <w:jc w:val="both"/>
              <w:rPr>
                <w:rFonts w:ascii="Times New Roman" w:hAnsi="Times New Roman" w:cs="Times New Roman"/>
                <w:b/>
                <w:bCs/>
                <w:sz w:val="24"/>
                <w:szCs w:val="24"/>
              </w:rPr>
            </w:pPr>
          </w:p>
        </w:tc>
        <w:tc>
          <w:tcPr>
            <w:tcW w:w="0" w:type="auto"/>
            <w:tcBorders>
              <w:top w:val="nil"/>
            </w:tcBorders>
          </w:tcPr>
          <w:p w14:paraId="3E05E89F" w14:textId="77777777" w:rsidR="001E2EF8" w:rsidRPr="001E2EF8" w:rsidRDefault="001E2EF8" w:rsidP="001E2EF8">
            <w:pPr>
              <w:jc w:val="both"/>
              <w:rPr>
                <w:rFonts w:ascii="Times New Roman" w:hAnsi="Times New Roman" w:cs="Times New Roman"/>
                <w:sz w:val="24"/>
                <w:szCs w:val="24"/>
              </w:rPr>
            </w:pPr>
          </w:p>
        </w:tc>
        <w:tc>
          <w:tcPr>
            <w:tcW w:w="0" w:type="auto"/>
            <w:tcBorders>
              <w:top w:val="nil"/>
            </w:tcBorders>
          </w:tcPr>
          <w:p w14:paraId="03B9FE39" w14:textId="77777777" w:rsidR="001E2EF8" w:rsidRPr="001E2EF8" w:rsidRDefault="001E2EF8" w:rsidP="001E2EF8">
            <w:pPr>
              <w:jc w:val="both"/>
              <w:rPr>
                <w:rFonts w:ascii="Times New Roman" w:hAnsi="Times New Roman" w:cs="Times New Roman"/>
                <w:sz w:val="24"/>
                <w:szCs w:val="24"/>
              </w:rPr>
            </w:pPr>
          </w:p>
        </w:tc>
        <w:tc>
          <w:tcPr>
            <w:tcW w:w="0" w:type="auto"/>
            <w:tcBorders>
              <w:top w:val="nil"/>
            </w:tcBorders>
          </w:tcPr>
          <w:p w14:paraId="115A77BF" w14:textId="77777777" w:rsidR="001E2EF8" w:rsidRPr="001E2EF8" w:rsidRDefault="001E2EF8" w:rsidP="001E2EF8">
            <w:pPr>
              <w:jc w:val="both"/>
              <w:rPr>
                <w:rFonts w:ascii="Times New Roman" w:hAnsi="Times New Roman" w:cs="Times New Roman"/>
                <w:sz w:val="24"/>
                <w:szCs w:val="24"/>
              </w:rPr>
            </w:pPr>
          </w:p>
        </w:tc>
      </w:tr>
      <w:tr w:rsidR="001E2EF8" w:rsidRPr="001E2EF8" w14:paraId="6D8B30B4" w14:textId="77777777" w:rsidTr="001E2EF8">
        <w:tc>
          <w:tcPr>
            <w:tcW w:w="0" w:type="auto"/>
            <w:tcBorders>
              <w:top w:val="nil"/>
            </w:tcBorders>
          </w:tcPr>
          <w:p w14:paraId="51E55EED"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2. Job Satisfaction</w:t>
            </w:r>
          </w:p>
        </w:tc>
        <w:tc>
          <w:tcPr>
            <w:tcW w:w="0" w:type="auto"/>
            <w:tcBorders>
              <w:top w:val="nil"/>
            </w:tcBorders>
          </w:tcPr>
          <w:p w14:paraId="677786DB"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3.61</w:t>
            </w:r>
          </w:p>
        </w:tc>
        <w:tc>
          <w:tcPr>
            <w:tcW w:w="0" w:type="auto"/>
            <w:tcBorders>
              <w:top w:val="nil"/>
            </w:tcBorders>
          </w:tcPr>
          <w:p w14:paraId="6F7D7AD0"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0.59</w:t>
            </w:r>
          </w:p>
        </w:tc>
        <w:tc>
          <w:tcPr>
            <w:tcW w:w="0" w:type="auto"/>
            <w:tcBorders>
              <w:top w:val="nil"/>
            </w:tcBorders>
          </w:tcPr>
          <w:p w14:paraId="3BDD760C"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.563**</w:t>
            </w:r>
          </w:p>
        </w:tc>
        <w:tc>
          <w:tcPr>
            <w:tcW w:w="0" w:type="auto"/>
            <w:tcBorders>
              <w:top w:val="nil"/>
            </w:tcBorders>
          </w:tcPr>
          <w:p w14:paraId="3A068732" w14:textId="77777777" w:rsidR="001E2EF8" w:rsidRPr="001E2EF8" w:rsidRDefault="001E2EF8" w:rsidP="001E2EF8">
            <w:pPr>
              <w:jc w:val="both"/>
              <w:rPr>
                <w:rFonts w:ascii="Times New Roman" w:hAnsi="Times New Roman" w:cs="Times New Roman"/>
                <w:sz w:val="24"/>
                <w:szCs w:val="24"/>
              </w:rPr>
            </w:pPr>
          </w:p>
        </w:tc>
        <w:tc>
          <w:tcPr>
            <w:tcW w:w="0" w:type="auto"/>
            <w:tcBorders>
              <w:top w:val="nil"/>
            </w:tcBorders>
          </w:tcPr>
          <w:p w14:paraId="277D6507" w14:textId="77777777" w:rsidR="001E2EF8" w:rsidRPr="001E2EF8" w:rsidRDefault="001E2EF8" w:rsidP="001E2EF8">
            <w:pPr>
              <w:jc w:val="both"/>
              <w:rPr>
                <w:rFonts w:ascii="Times New Roman" w:hAnsi="Times New Roman" w:cs="Times New Roman"/>
                <w:sz w:val="24"/>
                <w:szCs w:val="24"/>
              </w:rPr>
            </w:pPr>
          </w:p>
        </w:tc>
        <w:tc>
          <w:tcPr>
            <w:tcW w:w="0" w:type="auto"/>
            <w:tcBorders>
              <w:top w:val="nil"/>
            </w:tcBorders>
          </w:tcPr>
          <w:p w14:paraId="10998B8C" w14:textId="77777777" w:rsidR="001E2EF8" w:rsidRPr="001E2EF8" w:rsidRDefault="001E2EF8" w:rsidP="001E2EF8">
            <w:pPr>
              <w:jc w:val="both"/>
              <w:rPr>
                <w:rFonts w:ascii="Times New Roman" w:hAnsi="Times New Roman" w:cs="Times New Roman"/>
                <w:sz w:val="24"/>
                <w:szCs w:val="24"/>
              </w:rPr>
            </w:pPr>
          </w:p>
        </w:tc>
      </w:tr>
      <w:tr w:rsidR="001E2EF8" w:rsidRPr="001E2EF8" w14:paraId="3E63AB4E" w14:textId="77777777" w:rsidTr="001E2EF8">
        <w:tc>
          <w:tcPr>
            <w:tcW w:w="0" w:type="auto"/>
            <w:tcBorders>
              <w:top w:val="nil"/>
              <w:bottom w:val="single" w:sz="4" w:space="0" w:color="auto"/>
            </w:tcBorders>
          </w:tcPr>
          <w:p w14:paraId="0FD86819"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3. Organizational Commitment</w:t>
            </w:r>
          </w:p>
        </w:tc>
        <w:tc>
          <w:tcPr>
            <w:tcW w:w="0" w:type="auto"/>
            <w:tcBorders>
              <w:top w:val="nil"/>
              <w:bottom w:val="single" w:sz="4" w:space="0" w:color="auto"/>
            </w:tcBorders>
          </w:tcPr>
          <w:p w14:paraId="7C1E408C"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3.58</w:t>
            </w:r>
          </w:p>
        </w:tc>
        <w:tc>
          <w:tcPr>
            <w:tcW w:w="0" w:type="auto"/>
            <w:tcBorders>
              <w:top w:val="nil"/>
              <w:bottom w:val="single" w:sz="4" w:space="0" w:color="auto"/>
            </w:tcBorders>
          </w:tcPr>
          <w:p w14:paraId="2F9F4747"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0.64</w:t>
            </w:r>
          </w:p>
        </w:tc>
        <w:tc>
          <w:tcPr>
            <w:tcW w:w="0" w:type="auto"/>
            <w:tcBorders>
              <w:top w:val="nil"/>
              <w:bottom w:val="single" w:sz="4" w:space="0" w:color="auto"/>
            </w:tcBorders>
          </w:tcPr>
          <w:p w14:paraId="0C7E318F"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.541**</w:t>
            </w:r>
          </w:p>
        </w:tc>
        <w:tc>
          <w:tcPr>
            <w:tcW w:w="0" w:type="auto"/>
            <w:tcBorders>
              <w:top w:val="nil"/>
              <w:bottom w:val="single" w:sz="4" w:space="0" w:color="auto"/>
            </w:tcBorders>
          </w:tcPr>
          <w:p w14:paraId="603FE85B"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.598**</w:t>
            </w:r>
          </w:p>
        </w:tc>
        <w:tc>
          <w:tcPr>
            <w:tcW w:w="0" w:type="auto"/>
            <w:tcBorders>
              <w:top w:val="nil"/>
              <w:bottom w:val="single" w:sz="4" w:space="0" w:color="auto"/>
            </w:tcBorders>
          </w:tcPr>
          <w:p w14:paraId="0EC1C7C0" w14:textId="77777777" w:rsidR="001E2EF8" w:rsidRPr="001E2EF8" w:rsidRDefault="001E2EF8" w:rsidP="001E2EF8">
            <w:pPr>
              <w:jc w:val="both"/>
              <w:rPr>
                <w:rFonts w:ascii="Times New Roman" w:hAnsi="Times New Roman" w:cs="Times New Roman"/>
                <w:sz w:val="24"/>
                <w:szCs w:val="24"/>
              </w:rPr>
            </w:pPr>
          </w:p>
        </w:tc>
        <w:tc>
          <w:tcPr>
            <w:tcW w:w="0" w:type="auto"/>
            <w:tcBorders>
              <w:top w:val="nil"/>
              <w:bottom w:val="single" w:sz="4" w:space="0" w:color="auto"/>
            </w:tcBorders>
          </w:tcPr>
          <w:p w14:paraId="3B18B850" w14:textId="77777777" w:rsidR="001E2EF8" w:rsidRPr="001E2EF8" w:rsidRDefault="001E2EF8" w:rsidP="001E2EF8">
            <w:pPr>
              <w:jc w:val="both"/>
              <w:rPr>
                <w:rFonts w:ascii="Times New Roman" w:hAnsi="Times New Roman" w:cs="Times New Roman"/>
                <w:sz w:val="24"/>
                <w:szCs w:val="24"/>
              </w:rPr>
            </w:pPr>
          </w:p>
        </w:tc>
      </w:tr>
      <w:tr w:rsidR="001E2EF8" w:rsidRPr="001E2EF8" w14:paraId="3E5E907E" w14:textId="77777777" w:rsidTr="001E2EF8">
        <w:tc>
          <w:tcPr>
            <w:tcW w:w="0" w:type="auto"/>
            <w:gridSpan w:val="7"/>
            <w:tcBorders>
              <w:top w:val="single" w:sz="4" w:space="0" w:color="auto"/>
            </w:tcBorders>
          </w:tcPr>
          <w:p w14:paraId="10AFABCD"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i/>
                <w:iCs/>
                <w:sz w:val="24"/>
                <w:szCs w:val="24"/>
              </w:rPr>
              <w:t>Note. ** p &lt; .01 (two-tailed). N = 314. SD = Standard Deviation. α = Cronbach's Alpha.</w:t>
            </w:r>
          </w:p>
        </w:tc>
      </w:tr>
    </w:tbl>
    <w:p w14:paraId="285AE954" w14:textId="77777777" w:rsidR="001E2EF8" w:rsidRDefault="001E2EF8" w:rsidP="001E2EF8">
      <w:pPr>
        <w:jc w:val="both"/>
        <w:rPr>
          <w:rFonts w:ascii="Times New Roman" w:hAnsi="Times New Roman" w:cs="Times New Roman"/>
          <w:b/>
          <w:bCs/>
          <w:sz w:val="24"/>
          <w:szCs w:val="24"/>
        </w:rPr>
      </w:pPr>
    </w:p>
    <w:p w14:paraId="4CDA1461" w14:textId="3C4118A3" w:rsidR="001E2EF8" w:rsidRPr="001E2EF8" w:rsidRDefault="001E2EF8" w:rsidP="001E2EF8">
      <w:pPr>
        <w:jc w:val="both"/>
        <w:rPr>
          <w:rFonts w:ascii="Times New Roman" w:hAnsi="Times New Roman" w:cs="Times New Roman"/>
          <w:b/>
          <w:bCs/>
          <w:sz w:val="24"/>
          <w:szCs w:val="24"/>
        </w:rPr>
      </w:pPr>
      <w:r w:rsidRPr="001E2EF8">
        <w:rPr>
          <w:rFonts w:ascii="Times New Roman" w:hAnsi="Times New Roman" w:cs="Times New Roman"/>
          <w:b/>
          <w:bCs/>
          <w:sz w:val="24"/>
          <w:szCs w:val="24"/>
        </w:rPr>
        <w:t>Hierarchical Regression Analysis: Mediation Testing.</w:t>
      </w:r>
    </w:p>
    <w:p w14:paraId="654CA893"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The mediations were done in accordance with the four steps of Baron and Kenny (1986). The regression analyses are given in Table 5. Step 1 was a test of the direct impact of CSE on organisational commitment. Step 2 was used to test the impact of CSE on the mediator (job satisfaction). CSE and job satisfaction were also used as predictors of organisational commitment in Step 3. Step 1 CSE was a positive predictor of organisational commitment (β =.541, t = 11.96, p &lt;.001) and contributed to 29.3% of the variance. In Step 2, CSE significantly predicted job satisfaction (β = .563, t = 12.07, p &lt; .001), accounting for 31.7% of the variance. When CSE and job satisfaction were both entered as predictors in Step 3, job satisfaction was an important predictor of organisational commitment (β =.467, t = 8.30, p &lt;.001), and the impact of CSE on organisational commitment was not as strong but still significant (β =.281, t = 5.73, p &lt;.001). This trend in outcomes is in line with partial mediation, which supports H4. The full model accounted for 41.2% of the variance in organisational commitment.</w:t>
      </w:r>
    </w:p>
    <w:p w14:paraId="48EBF95A" w14:textId="77777777" w:rsidR="001E2EF8" w:rsidRPr="001E2EF8" w:rsidRDefault="001E2EF8" w:rsidP="001E2EF8">
      <w:pPr>
        <w:jc w:val="both"/>
        <w:rPr>
          <w:rFonts w:ascii="Times New Roman" w:hAnsi="Times New Roman" w:cs="Times New Roman"/>
          <w:b/>
          <w:bCs/>
          <w:sz w:val="24"/>
          <w:szCs w:val="24"/>
        </w:rPr>
      </w:pPr>
      <w:r w:rsidRPr="001E2EF8">
        <w:rPr>
          <w:rFonts w:ascii="Times New Roman" w:hAnsi="Times New Roman" w:cs="Times New Roman"/>
          <w:b/>
          <w:bCs/>
          <w:sz w:val="24"/>
          <w:szCs w:val="24"/>
        </w:rPr>
        <w:t>Table 5: Hierarchical Multiple Regression Analysis: Mediation of CSE–OC Relationship by Job Satisfaction</w:t>
      </w:r>
    </w:p>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4"/>
        <w:gridCol w:w="1098"/>
        <w:gridCol w:w="1098"/>
        <w:gridCol w:w="924"/>
        <w:gridCol w:w="1098"/>
        <w:gridCol w:w="924"/>
      </w:tblGrid>
      <w:tr w:rsidR="001E2EF8" w:rsidRPr="001E2EF8" w14:paraId="15FB7FBE" w14:textId="77777777" w:rsidTr="001E2EF8">
        <w:tc>
          <w:tcPr>
            <w:tcW w:w="0" w:type="auto"/>
            <w:tcBorders>
              <w:top w:val="single" w:sz="4" w:space="0" w:color="auto"/>
              <w:bottom w:val="single" w:sz="4" w:space="0" w:color="auto"/>
            </w:tcBorders>
          </w:tcPr>
          <w:p w14:paraId="1FC9C564"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b/>
                <w:bCs/>
                <w:sz w:val="24"/>
                <w:szCs w:val="24"/>
              </w:rPr>
              <w:t>Model / Predictor</w:t>
            </w:r>
          </w:p>
        </w:tc>
        <w:tc>
          <w:tcPr>
            <w:tcW w:w="0" w:type="auto"/>
            <w:tcBorders>
              <w:top w:val="single" w:sz="4" w:space="0" w:color="auto"/>
              <w:bottom w:val="single" w:sz="4" w:space="0" w:color="auto"/>
            </w:tcBorders>
          </w:tcPr>
          <w:p w14:paraId="1AA6630C"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b/>
                <w:bCs/>
                <w:sz w:val="24"/>
                <w:szCs w:val="24"/>
              </w:rPr>
              <w:t>B</w:t>
            </w:r>
          </w:p>
        </w:tc>
        <w:tc>
          <w:tcPr>
            <w:tcW w:w="0" w:type="auto"/>
            <w:tcBorders>
              <w:top w:val="single" w:sz="4" w:space="0" w:color="auto"/>
              <w:bottom w:val="single" w:sz="4" w:space="0" w:color="auto"/>
            </w:tcBorders>
          </w:tcPr>
          <w:p w14:paraId="7C329567"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b/>
                <w:bCs/>
                <w:sz w:val="24"/>
                <w:szCs w:val="24"/>
              </w:rPr>
              <w:t>SE B</w:t>
            </w:r>
          </w:p>
        </w:tc>
        <w:tc>
          <w:tcPr>
            <w:tcW w:w="0" w:type="auto"/>
            <w:tcBorders>
              <w:top w:val="single" w:sz="4" w:space="0" w:color="auto"/>
              <w:bottom w:val="single" w:sz="4" w:space="0" w:color="auto"/>
            </w:tcBorders>
          </w:tcPr>
          <w:p w14:paraId="3B9A8CA6"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b/>
                <w:bCs/>
                <w:sz w:val="24"/>
                <w:szCs w:val="24"/>
              </w:rPr>
              <w:t>β</w:t>
            </w:r>
          </w:p>
        </w:tc>
        <w:tc>
          <w:tcPr>
            <w:tcW w:w="0" w:type="auto"/>
            <w:tcBorders>
              <w:top w:val="single" w:sz="4" w:space="0" w:color="auto"/>
              <w:bottom w:val="single" w:sz="4" w:space="0" w:color="auto"/>
            </w:tcBorders>
          </w:tcPr>
          <w:p w14:paraId="33129C70"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b/>
                <w:bCs/>
                <w:sz w:val="24"/>
                <w:szCs w:val="24"/>
              </w:rPr>
              <w:t>t</w:t>
            </w:r>
          </w:p>
        </w:tc>
        <w:tc>
          <w:tcPr>
            <w:tcW w:w="0" w:type="auto"/>
            <w:tcBorders>
              <w:top w:val="single" w:sz="4" w:space="0" w:color="auto"/>
              <w:bottom w:val="single" w:sz="4" w:space="0" w:color="auto"/>
            </w:tcBorders>
          </w:tcPr>
          <w:p w14:paraId="6C08503F"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b/>
                <w:bCs/>
                <w:sz w:val="24"/>
                <w:szCs w:val="24"/>
              </w:rPr>
              <w:t>p</w:t>
            </w:r>
          </w:p>
        </w:tc>
      </w:tr>
      <w:tr w:rsidR="001E2EF8" w:rsidRPr="001E2EF8" w14:paraId="48D350C5" w14:textId="77777777" w:rsidTr="001E2EF8">
        <w:tc>
          <w:tcPr>
            <w:tcW w:w="0" w:type="auto"/>
            <w:gridSpan w:val="6"/>
            <w:tcBorders>
              <w:top w:val="single" w:sz="4" w:space="0" w:color="auto"/>
            </w:tcBorders>
          </w:tcPr>
          <w:p w14:paraId="6C60636D"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b/>
                <w:bCs/>
                <w:sz w:val="24"/>
                <w:szCs w:val="24"/>
              </w:rPr>
              <w:t>Step 1: Outcome = Org. Commitment</w:t>
            </w:r>
          </w:p>
        </w:tc>
      </w:tr>
      <w:tr w:rsidR="001E2EF8" w:rsidRPr="001E2EF8" w14:paraId="37860CAB" w14:textId="77777777" w:rsidTr="001E2EF8">
        <w:tc>
          <w:tcPr>
            <w:tcW w:w="0" w:type="auto"/>
            <w:tcBorders>
              <w:top w:val="nil"/>
            </w:tcBorders>
          </w:tcPr>
          <w:p w14:paraId="6DCE7F4A"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Core Self-Evaluations (CSE)</w:t>
            </w:r>
          </w:p>
        </w:tc>
        <w:tc>
          <w:tcPr>
            <w:tcW w:w="0" w:type="auto"/>
            <w:tcBorders>
              <w:top w:val="nil"/>
            </w:tcBorders>
          </w:tcPr>
          <w:p w14:paraId="25F61F0A"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0.574</w:t>
            </w:r>
          </w:p>
        </w:tc>
        <w:tc>
          <w:tcPr>
            <w:tcW w:w="0" w:type="auto"/>
            <w:tcBorders>
              <w:top w:val="nil"/>
            </w:tcBorders>
          </w:tcPr>
          <w:p w14:paraId="6E117E7F"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0.048</w:t>
            </w:r>
          </w:p>
        </w:tc>
        <w:tc>
          <w:tcPr>
            <w:tcW w:w="0" w:type="auto"/>
            <w:tcBorders>
              <w:top w:val="nil"/>
            </w:tcBorders>
          </w:tcPr>
          <w:p w14:paraId="302ED35C"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.541</w:t>
            </w:r>
          </w:p>
        </w:tc>
        <w:tc>
          <w:tcPr>
            <w:tcW w:w="0" w:type="auto"/>
            <w:tcBorders>
              <w:top w:val="nil"/>
            </w:tcBorders>
          </w:tcPr>
          <w:p w14:paraId="0F6F48C4"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11.96</w:t>
            </w:r>
          </w:p>
        </w:tc>
        <w:tc>
          <w:tcPr>
            <w:tcW w:w="0" w:type="auto"/>
            <w:tcBorders>
              <w:top w:val="nil"/>
            </w:tcBorders>
          </w:tcPr>
          <w:p w14:paraId="3B474099"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.000</w:t>
            </w:r>
          </w:p>
        </w:tc>
      </w:tr>
      <w:tr w:rsidR="001E2EF8" w:rsidRPr="001E2EF8" w14:paraId="2E601105" w14:textId="77777777" w:rsidTr="001E2EF8">
        <w:tc>
          <w:tcPr>
            <w:tcW w:w="0" w:type="auto"/>
            <w:gridSpan w:val="6"/>
            <w:tcBorders>
              <w:top w:val="nil"/>
            </w:tcBorders>
          </w:tcPr>
          <w:p w14:paraId="2CA0C2DB"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R² = .293; F (1, 312) = 143.04, p &lt; .001</w:t>
            </w:r>
          </w:p>
        </w:tc>
      </w:tr>
      <w:tr w:rsidR="001E2EF8" w:rsidRPr="001E2EF8" w14:paraId="7537B5B2" w14:textId="77777777" w:rsidTr="001E2EF8">
        <w:tc>
          <w:tcPr>
            <w:tcW w:w="0" w:type="auto"/>
            <w:gridSpan w:val="6"/>
            <w:tcBorders>
              <w:top w:val="nil"/>
            </w:tcBorders>
          </w:tcPr>
          <w:p w14:paraId="3679AEE7"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b/>
                <w:bCs/>
                <w:sz w:val="24"/>
                <w:szCs w:val="24"/>
              </w:rPr>
              <w:lastRenderedPageBreak/>
              <w:t>Step 2: Outcome = Job Satisfaction</w:t>
            </w:r>
          </w:p>
        </w:tc>
      </w:tr>
      <w:tr w:rsidR="001E2EF8" w:rsidRPr="001E2EF8" w14:paraId="343EBD8A" w14:textId="77777777" w:rsidTr="001E2EF8">
        <w:tc>
          <w:tcPr>
            <w:tcW w:w="0" w:type="auto"/>
            <w:tcBorders>
              <w:top w:val="nil"/>
            </w:tcBorders>
          </w:tcPr>
          <w:p w14:paraId="75426F70"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Core Self-Evaluations (CSE)</w:t>
            </w:r>
          </w:p>
        </w:tc>
        <w:tc>
          <w:tcPr>
            <w:tcW w:w="0" w:type="auto"/>
            <w:tcBorders>
              <w:top w:val="nil"/>
            </w:tcBorders>
          </w:tcPr>
          <w:p w14:paraId="10BA0C9C"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0.543</w:t>
            </w:r>
          </w:p>
        </w:tc>
        <w:tc>
          <w:tcPr>
            <w:tcW w:w="0" w:type="auto"/>
            <w:tcBorders>
              <w:top w:val="nil"/>
            </w:tcBorders>
          </w:tcPr>
          <w:p w14:paraId="4C8265F5"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0.045</w:t>
            </w:r>
          </w:p>
        </w:tc>
        <w:tc>
          <w:tcPr>
            <w:tcW w:w="0" w:type="auto"/>
            <w:tcBorders>
              <w:top w:val="nil"/>
            </w:tcBorders>
          </w:tcPr>
          <w:p w14:paraId="418E4511"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.563</w:t>
            </w:r>
          </w:p>
        </w:tc>
        <w:tc>
          <w:tcPr>
            <w:tcW w:w="0" w:type="auto"/>
            <w:tcBorders>
              <w:top w:val="nil"/>
            </w:tcBorders>
          </w:tcPr>
          <w:p w14:paraId="09FC6795"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12.07</w:t>
            </w:r>
          </w:p>
        </w:tc>
        <w:tc>
          <w:tcPr>
            <w:tcW w:w="0" w:type="auto"/>
            <w:tcBorders>
              <w:top w:val="nil"/>
            </w:tcBorders>
          </w:tcPr>
          <w:p w14:paraId="331E80C4"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.000</w:t>
            </w:r>
          </w:p>
        </w:tc>
      </w:tr>
      <w:tr w:rsidR="001E2EF8" w:rsidRPr="001E2EF8" w14:paraId="4866C6F3" w14:textId="77777777" w:rsidTr="001E2EF8">
        <w:tc>
          <w:tcPr>
            <w:tcW w:w="0" w:type="auto"/>
            <w:gridSpan w:val="6"/>
            <w:tcBorders>
              <w:top w:val="nil"/>
            </w:tcBorders>
          </w:tcPr>
          <w:p w14:paraId="65FA24E8"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R² = .317; F (1, 312) = 144.68, p &lt; .001</w:t>
            </w:r>
          </w:p>
        </w:tc>
      </w:tr>
      <w:tr w:rsidR="001E2EF8" w:rsidRPr="001E2EF8" w14:paraId="408F47D1" w14:textId="77777777" w:rsidTr="001E2EF8">
        <w:tc>
          <w:tcPr>
            <w:tcW w:w="0" w:type="auto"/>
            <w:gridSpan w:val="6"/>
            <w:tcBorders>
              <w:top w:val="nil"/>
            </w:tcBorders>
          </w:tcPr>
          <w:p w14:paraId="29EB3CFC"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b/>
                <w:bCs/>
                <w:sz w:val="24"/>
                <w:szCs w:val="24"/>
              </w:rPr>
              <w:t>Step 3: Outcome = Org. Commitment</w:t>
            </w:r>
          </w:p>
        </w:tc>
      </w:tr>
      <w:tr w:rsidR="001E2EF8" w:rsidRPr="001E2EF8" w14:paraId="184AC1FB" w14:textId="77777777" w:rsidTr="001E2EF8">
        <w:tc>
          <w:tcPr>
            <w:tcW w:w="0" w:type="auto"/>
            <w:tcBorders>
              <w:top w:val="nil"/>
            </w:tcBorders>
          </w:tcPr>
          <w:p w14:paraId="53C30693"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Core Self-Evaluations (CSE)</w:t>
            </w:r>
          </w:p>
        </w:tc>
        <w:tc>
          <w:tcPr>
            <w:tcW w:w="0" w:type="auto"/>
            <w:tcBorders>
              <w:top w:val="nil"/>
            </w:tcBorders>
          </w:tcPr>
          <w:p w14:paraId="7BE01395"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0.298</w:t>
            </w:r>
          </w:p>
        </w:tc>
        <w:tc>
          <w:tcPr>
            <w:tcW w:w="0" w:type="auto"/>
            <w:tcBorders>
              <w:top w:val="nil"/>
            </w:tcBorders>
          </w:tcPr>
          <w:p w14:paraId="5E5C47B1"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0.052</w:t>
            </w:r>
          </w:p>
        </w:tc>
        <w:tc>
          <w:tcPr>
            <w:tcW w:w="0" w:type="auto"/>
            <w:tcBorders>
              <w:top w:val="nil"/>
            </w:tcBorders>
          </w:tcPr>
          <w:p w14:paraId="15374837"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.281</w:t>
            </w:r>
          </w:p>
        </w:tc>
        <w:tc>
          <w:tcPr>
            <w:tcW w:w="0" w:type="auto"/>
            <w:tcBorders>
              <w:top w:val="nil"/>
            </w:tcBorders>
          </w:tcPr>
          <w:p w14:paraId="04DA2393"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5.73</w:t>
            </w:r>
          </w:p>
        </w:tc>
        <w:tc>
          <w:tcPr>
            <w:tcW w:w="0" w:type="auto"/>
            <w:tcBorders>
              <w:top w:val="nil"/>
            </w:tcBorders>
          </w:tcPr>
          <w:p w14:paraId="3F937DB8"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.000</w:t>
            </w:r>
          </w:p>
        </w:tc>
      </w:tr>
      <w:tr w:rsidR="001E2EF8" w:rsidRPr="001E2EF8" w14:paraId="316A0EFD" w14:textId="77777777" w:rsidTr="001E2EF8">
        <w:tc>
          <w:tcPr>
            <w:tcW w:w="0" w:type="auto"/>
            <w:tcBorders>
              <w:top w:val="nil"/>
            </w:tcBorders>
          </w:tcPr>
          <w:p w14:paraId="07006E43"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Job Satisfaction (JS)</w:t>
            </w:r>
          </w:p>
        </w:tc>
        <w:tc>
          <w:tcPr>
            <w:tcW w:w="0" w:type="auto"/>
            <w:tcBorders>
              <w:top w:val="nil"/>
            </w:tcBorders>
          </w:tcPr>
          <w:p w14:paraId="3692BD08"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0.506</w:t>
            </w:r>
          </w:p>
        </w:tc>
        <w:tc>
          <w:tcPr>
            <w:tcW w:w="0" w:type="auto"/>
            <w:tcBorders>
              <w:top w:val="nil"/>
            </w:tcBorders>
          </w:tcPr>
          <w:p w14:paraId="366ABAB1"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0.061</w:t>
            </w:r>
          </w:p>
        </w:tc>
        <w:tc>
          <w:tcPr>
            <w:tcW w:w="0" w:type="auto"/>
            <w:tcBorders>
              <w:top w:val="nil"/>
            </w:tcBorders>
          </w:tcPr>
          <w:p w14:paraId="3788E986"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.467</w:t>
            </w:r>
          </w:p>
        </w:tc>
        <w:tc>
          <w:tcPr>
            <w:tcW w:w="0" w:type="auto"/>
            <w:tcBorders>
              <w:top w:val="nil"/>
            </w:tcBorders>
          </w:tcPr>
          <w:p w14:paraId="1A738FA0"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8.30</w:t>
            </w:r>
          </w:p>
        </w:tc>
        <w:tc>
          <w:tcPr>
            <w:tcW w:w="0" w:type="auto"/>
            <w:tcBorders>
              <w:top w:val="nil"/>
            </w:tcBorders>
          </w:tcPr>
          <w:p w14:paraId="5E59ADB6"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.000</w:t>
            </w:r>
          </w:p>
        </w:tc>
      </w:tr>
      <w:tr w:rsidR="001E2EF8" w:rsidRPr="001E2EF8" w14:paraId="0B7E8218" w14:textId="77777777" w:rsidTr="001E2EF8">
        <w:tc>
          <w:tcPr>
            <w:tcW w:w="0" w:type="auto"/>
            <w:gridSpan w:val="6"/>
            <w:tcBorders>
              <w:top w:val="nil"/>
              <w:bottom w:val="single" w:sz="4" w:space="0" w:color="auto"/>
            </w:tcBorders>
          </w:tcPr>
          <w:p w14:paraId="4CCDBAA7"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R² = .412; F (2, 311) = 108.74, p &lt; .001</w:t>
            </w:r>
          </w:p>
        </w:tc>
      </w:tr>
      <w:tr w:rsidR="001E2EF8" w:rsidRPr="001E2EF8" w14:paraId="48DA7834" w14:textId="77777777" w:rsidTr="001E2EF8">
        <w:tc>
          <w:tcPr>
            <w:tcW w:w="0" w:type="auto"/>
            <w:gridSpan w:val="6"/>
            <w:tcBorders>
              <w:top w:val="single" w:sz="4" w:space="0" w:color="auto"/>
            </w:tcBorders>
          </w:tcPr>
          <w:p w14:paraId="0F519C00"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i/>
                <w:iCs/>
                <w:sz w:val="24"/>
                <w:szCs w:val="24"/>
              </w:rPr>
              <w:t>Note. B = unstandardized coefficient; SE B = standard error; β = standardized coefficient. Partial mediation is supported (CSE effect reduced but remains significant in Step 3).</w:t>
            </w:r>
          </w:p>
        </w:tc>
      </w:tr>
    </w:tbl>
    <w:p w14:paraId="00423252" w14:textId="77777777" w:rsidR="001E2EF8" w:rsidRPr="001E2EF8" w:rsidRDefault="001E2EF8" w:rsidP="001E2EF8">
      <w:pPr>
        <w:jc w:val="both"/>
        <w:rPr>
          <w:rFonts w:ascii="Times New Roman" w:hAnsi="Times New Roman" w:cs="Times New Roman"/>
          <w:sz w:val="24"/>
          <w:szCs w:val="24"/>
        </w:rPr>
      </w:pPr>
    </w:p>
    <w:p w14:paraId="06911596" w14:textId="77777777" w:rsidR="001E2EF8" w:rsidRPr="001E2EF8" w:rsidRDefault="001E2EF8" w:rsidP="001E2EF8">
      <w:pPr>
        <w:jc w:val="both"/>
        <w:rPr>
          <w:rFonts w:ascii="Times New Roman" w:hAnsi="Times New Roman" w:cs="Times New Roman"/>
          <w:b/>
          <w:bCs/>
          <w:sz w:val="24"/>
          <w:szCs w:val="24"/>
        </w:rPr>
      </w:pPr>
      <w:r w:rsidRPr="001E2EF8">
        <w:rPr>
          <w:rFonts w:ascii="Times New Roman" w:hAnsi="Times New Roman" w:cs="Times New Roman"/>
          <w:sz w:val="24"/>
          <w:szCs w:val="24"/>
        </w:rPr>
        <w:t xml:space="preserve"> </w:t>
      </w:r>
      <w:r w:rsidRPr="001E2EF8">
        <w:rPr>
          <w:rFonts w:ascii="Times New Roman" w:hAnsi="Times New Roman" w:cs="Times New Roman"/>
          <w:b/>
          <w:bCs/>
          <w:sz w:val="24"/>
          <w:szCs w:val="24"/>
        </w:rPr>
        <w:t>Sobel Test for Indirect Effect</w:t>
      </w:r>
    </w:p>
    <w:p w14:paraId="06F5CBE7"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The Sobel test was carried out to test the statistical significance of the indirect effect of CSE on organisational commitment via job satisfaction. As shown in Table 6, the indirect effect was significant (B = 0.276, SE = 0.038, Z = 7.26, p &lt; .001). These findings support the rejection of H3 because job satisfaction is a statistically significant partial mediator between CSE and organisational commitment relationship.</w:t>
      </w:r>
    </w:p>
    <w:p w14:paraId="1E9C0571"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b/>
          <w:bCs/>
          <w:sz w:val="24"/>
          <w:szCs w:val="24"/>
        </w:rPr>
        <w:t>Table 6: Sobel Test for Mediation of Core Self-Evaluations and Organisational Commitment via Job Satisfaction</w:t>
      </w:r>
    </w:p>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8"/>
        <w:gridCol w:w="2144"/>
        <w:gridCol w:w="1124"/>
        <w:gridCol w:w="1587"/>
        <w:gridCol w:w="1323"/>
      </w:tblGrid>
      <w:tr w:rsidR="001E2EF8" w:rsidRPr="001E2EF8" w14:paraId="37C88B1E" w14:textId="77777777" w:rsidTr="001E2EF8">
        <w:tc>
          <w:tcPr>
            <w:tcW w:w="0" w:type="auto"/>
            <w:tcBorders>
              <w:bottom w:val="single" w:sz="4" w:space="0" w:color="auto"/>
            </w:tcBorders>
          </w:tcPr>
          <w:p w14:paraId="62898D43"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b/>
                <w:bCs/>
                <w:sz w:val="24"/>
                <w:szCs w:val="24"/>
              </w:rPr>
              <w:t>Path</w:t>
            </w:r>
          </w:p>
        </w:tc>
        <w:tc>
          <w:tcPr>
            <w:tcW w:w="0" w:type="auto"/>
            <w:tcBorders>
              <w:bottom w:val="single" w:sz="4" w:space="0" w:color="auto"/>
            </w:tcBorders>
          </w:tcPr>
          <w:p w14:paraId="51FD374A"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b/>
                <w:bCs/>
                <w:sz w:val="24"/>
                <w:szCs w:val="24"/>
              </w:rPr>
              <w:t>Indirect Effect</w:t>
            </w:r>
          </w:p>
        </w:tc>
        <w:tc>
          <w:tcPr>
            <w:tcW w:w="0" w:type="auto"/>
            <w:tcBorders>
              <w:bottom w:val="single" w:sz="4" w:space="0" w:color="auto"/>
            </w:tcBorders>
          </w:tcPr>
          <w:p w14:paraId="7A3F0246"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b/>
                <w:bCs/>
                <w:sz w:val="24"/>
                <w:szCs w:val="24"/>
              </w:rPr>
              <w:t>SE</w:t>
            </w:r>
          </w:p>
        </w:tc>
        <w:tc>
          <w:tcPr>
            <w:tcW w:w="0" w:type="auto"/>
            <w:tcBorders>
              <w:bottom w:val="single" w:sz="4" w:space="0" w:color="auto"/>
            </w:tcBorders>
          </w:tcPr>
          <w:p w14:paraId="5E4722F3"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b/>
                <w:bCs/>
                <w:sz w:val="24"/>
                <w:szCs w:val="24"/>
              </w:rPr>
              <w:t>Z (Sobel)</w:t>
            </w:r>
          </w:p>
        </w:tc>
        <w:tc>
          <w:tcPr>
            <w:tcW w:w="0" w:type="auto"/>
            <w:tcBorders>
              <w:bottom w:val="single" w:sz="4" w:space="0" w:color="auto"/>
            </w:tcBorders>
          </w:tcPr>
          <w:p w14:paraId="6A14B74A"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b/>
                <w:bCs/>
                <w:sz w:val="24"/>
                <w:szCs w:val="24"/>
              </w:rPr>
              <w:t>p-value</w:t>
            </w:r>
          </w:p>
        </w:tc>
      </w:tr>
      <w:tr w:rsidR="001E2EF8" w:rsidRPr="001E2EF8" w14:paraId="4BFF5E07" w14:textId="77777777" w:rsidTr="001E2EF8">
        <w:tc>
          <w:tcPr>
            <w:tcW w:w="0" w:type="auto"/>
            <w:tcBorders>
              <w:top w:val="single" w:sz="4" w:space="0" w:color="auto"/>
              <w:bottom w:val="single" w:sz="4" w:space="0" w:color="auto"/>
            </w:tcBorders>
          </w:tcPr>
          <w:p w14:paraId="238DD3B2"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CSE → JS → OC</w:t>
            </w:r>
          </w:p>
        </w:tc>
        <w:tc>
          <w:tcPr>
            <w:tcW w:w="0" w:type="auto"/>
            <w:tcBorders>
              <w:top w:val="single" w:sz="4" w:space="0" w:color="auto"/>
              <w:bottom w:val="single" w:sz="4" w:space="0" w:color="auto"/>
            </w:tcBorders>
          </w:tcPr>
          <w:p w14:paraId="12FF0652"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0.276</w:t>
            </w:r>
          </w:p>
        </w:tc>
        <w:tc>
          <w:tcPr>
            <w:tcW w:w="0" w:type="auto"/>
            <w:tcBorders>
              <w:top w:val="single" w:sz="4" w:space="0" w:color="auto"/>
              <w:bottom w:val="single" w:sz="4" w:space="0" w:color="auto"/>
            </w:tcBorders>
          </w:tcPr>
          <w:p w14:paraId="5CA2232C"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0.038</w:t>
            </w:r>
          </w:p>
        </w:tc>
        <w:tc>
          <w:tcPr>
            <w:tcW w:w="0" w:type="auto"/>
            <w:tcBorders>
              <w:top w:val="single" w:sz="4" w:space="0" w:color="auto"/>
              <w:bottom w:val="single" w:sz="4" w:space="0" w:color="auto"/>
            </w:tcBorders>
          </w:tcPr>
          <w:p w14:paraId="532C2F57"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7.26</w:t>
            </w:r>
          </w:p>
        </w:tc>
        <w:tc>
          <w:tcPr>
            <w:tcW w:w="0" w:type="auto"/>
            <w:tcBorders>
              <w:top w:val="single" w:sz="4" w:space="0" w:color="auto"/>
              <w:bottom w:val="single" w:sz="4" w:space="0" w:color="auto"/>
            </w:tcBorders>
          </w:tcPr>
          <w:p w14:paraId="61210D12"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&lt; .001</w:t>
            </w:r>
          </w:p>
        </w:tc>
      </w:tr>
      <w:tr w:rsidR="001E2EF8" w:rsidRPr="001E2EF8" w14:paraId="5857B910" w14:textId="77777777" w:rsidTr="001E2EF8">
        <w:tc>
          <w:tcPr>
            <w:tcW w:w="0" w:type="auto"/>
            <w:gridSpan w:val="5"/>
            <w:tcBorders>
              <w:top w:val="single" w:sz="4" w:space="0" w:color="auto"/>
            </w:tcBorders>
          </w:tcPr>
          <w:p w14:paraId="1EC7215D"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i/>
                <w:iCs/>
                <w:sz w:val="24"/>
                <w:szCs w:val="24"/>
              </w:rPr>
              <w:t>Note. CSE = Core Self-Evaluations; JS = Job Satisfaction; OC = Organizational Commitment. Mediation effect is statistically significant at p &lt; .001.</w:t>
            </w:r>
          </w:p>
        </w:tc>
      </w:tr>
    </w:tbl>
    <w:p w14:paraId="38637135" w14:textId="77777777" w:rsidR="001E2EF8" w:rsidRPr="001E2EF8" w:rsidRDefault="001E2EF8" w:rsidP="001E2EF8">
      <w:pPr>
        <w:jc w:val="both"/>
        <w:rPr>
          <w:rFonts w:ascii="Times New Roman" w:hAnsi="Times New Roman" w:cs="Times New Roman"/>
          <w:b/>
          <w:bCs/>
          <w:sz w:val="24"/>
          <w:szCs w:val="24"/>
        </w:rPr>
      </w:pPr>
      <w:r w:rsidRPr="001E2EF8">
        <w:rPr>
          <w:rFonts w:ascii="Times New Roman" w:hAnsi="Times New Roman" w:cs="Times New Roman"/>
          <w:b/>
          <w:bCs/>
          <w:sz w:val="24"/>
          <w:szCs w:val="24"/>
        </w:rPr>
        <w:t xml:space="preserve">Conclusion </w:t>
      </w:r>
    </w:p>
    <w:p w14:paraId="59FAC24A"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The results of this research strongly present empirical evidence on the hypothesized relationships between CSE, job satisfaction, and organisational commitment in the NGO sector of Quetta, Pakistan. The findings are placed in the context of the wider theoretical and empirical literature and their implications in practice are discussed below. In line with H1 and previous studies (Judge and Bono, 2003; Piccolo et al., 2005), the CSE had positive and significant relationships with organisational commitment (r =.541, 8 =.541). The implication of this finding is that middle-level NGO employees who have more favorable perceptions of themselves, their potential and their ability to affect outcomes in their world are more firmly attached to their organizations. This is in line with the social exchange theory (Blau, 2017) which assumes that the more employees view themselves as positive, the more they will give back the organisational support they feel through more loyalty and commitment.</w:t>
      </w:r>
    </w:p>
    <w:p w14:paraId="03FC6807"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 xml:space="preserve">The fact that CSE was positively related to job satisfaction (H2; r =.563, - =.563) can be explained by the meta-analytic results of Judge and Bono (2003) and the cognitive appraisal theory developed by Judge et al. (1998). High-CSE employees might be less likely to overlook and undervalue the good things about their workplace, to perceive challenges in their workplace as opportunities and not as threats, and to find more intrinsic satisfaction in their daily work. With the challenging, frequently resource-limited environment of NGO operations in Quetta, the positive psychological orientation could be especially valuable in job satisfaction, especially in the ability to </w:t>
      </w:r>
      <w:r w:rsidRPr="001E2EF8">
        <w:rPr>
          <w:rFonts w:ascii="Times New Roman" w:hAnsi="Times New Roman" w:cs="Times New Roman"/>
          <w:sz w:val="24"/>
          <w:szCs w:val="24"/>
        </w:rPr>
        <w:lastRenderedPageBreak/>
        <w:t>sustain it.</w:t>
      </w:r>
    </w:p>
    <w:p w14:paraId="052F918A"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Importantly, the findings indicated that job satisfaction is a mediator in the CSE- commitment relationship (H3). The Sobel test indicated the statistically significant indirect effect (Z = 7.26, p &lt; .001), and the decrease of the CSE–commitment coefficient between 2 - =.541 and 2 - =.281 when the job satisfaction was added into the regression model are signs of partial mediation. The continuation of a direct effect indicates that CSE is also acting in other pathways that are not included in the current model, e.g. self-regulation, proactive behavior, or perceived competence. These results build on the findings of Piccolo et al (2005) of a non-Western non-profit environment and show that job satisfaction is a significant psychological process that connects dispositional self-appraisals with organisational attachment.</w:t>
      </w:r>
    </w:p>
    <w:p w14:paraId="0CEF0911"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The result of the partial mediation is informative in theory. It implies that even though positive self-evaluation helps in commitment as it creates job satisfaction, the influence of CSE on commitment is also direct and independent of affective job appraisal. This highlights the complexity of the CSE–commitment relationship and the need to conduct future studies to investigate other mediating variables, including perceived organisational support, work engagement, or psychological empowerment.</w:t>
      </w:r>
    </w:p>
    <w:p w14:paraId="59423093" w14:textId="77777777" w:rsidR="001E2EF8" w:rsidRDefault="001E2EF8" w:rsidP="001E2EF8">
      <w:pPr>
        <w:jc w:val="both"/>
        <w:rPr>
          <w:rFonts w:ascii="Times New Roman" w:hAnsi="Times New Roman" w:cs="Times New Roman"/>
          <w:b/>
          <w:bCs/>
          <w:sz w:val="24"/>
          <w:szCs w:val="24"/>
        </w:rPr>
      </w:pPr>
    </w:p>
    <w:p w14:paraId="493B91EA" w14:textId="42B5F343" w:rsidR="001E2EF8" w:rsidRPr="001E2EF8" w:rsidRDefault="001E2EF8" w:rsidP="001E2EF8">
      <w:pPr>
        <w:jc w:val="both"/>
        <w:rPr>
          <w:rFonts w:ascii="Times New Roman" w:hAnsi="Times New Roman" w:cs="Times New Roman"/>
          <w:b/>
          <w:bCs/>
          <w:sz w:val="24"/>
          <w:szCs w:val="24"/>
        </w:rPr>
      </w:pPr>
      <w:r w:rsidRPr="001E2EF8">
        <w:rPr>
          <w:rFonts w:ascii="Times New Roman" w:hAnsi="Times New Roman" w:cs="Times New Roman"/>
          <w:b/>
          <w:bCs/>
          <w:sz w:val="24"/>
          <w:szCs w:val="24"/>
        </w:rPr>
        <w:t>Practical Implications</w:t>
      </w:r>
    </w:p>
    <w:p w14:paraId="0D599574"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The results have various practical implications on human resource management of NGOs. To begin with, organizations ought to think of integrating CSE in their recruitment and selection processes, since employees who have a better CSE are more likely to exhibit a higher degree of job satisfaction and commitment. Second, training and development programs that aim to increase the levels of self-efficacy, locus of control and emotional stability in employees have the potential to lead to better job satisfaction and long-term organisational commitment. Third, due to the partial mediation result, organizations need to also focus on improving job satisfaction by improving working conditions, role clarity, fair pay, and supportive supervision because these characteristics can magnify the positive consequences of CSE on commitment.</w:t>
      </w:r>
    </w:p>
    <w:p w14:paraId="65C9321E" w14:textId="77777777" w:rsidR="001E2EF8" w:rsidRDefault="001E2EF8" w:rsidP="001E2EF8">
      <w:pPr>
        <w:jc w:val="both"/>
        <w:rPr>
          <w:rFonts w:ascii="Times New Roman" w:hAnsi="Times New Roman" w:cs="Times New Roman"/>
          <w:b/>
          <w:bCs/>
          <w:sz w:val="24"/>
          <w:szCs w:val="24"/>
        </w:rPr>
      </w:pPr>
    </w:p>
    <w:p w14:paraId="40C735A4" w14:textId="5B4E4C12" w:rsidR="001E2EF8" w:rsidRPr="001E2EF8" w:rsidRDefault="001E2EF8" w:rsidP="001E2EF8">
      <w:pPr>
        <w:jc w:val="both"/>
        <w:rPr>
          <w:rFonts w:ascii="Times New Roman" w:hAnsi="Times New Roman" w:cs="Times New Roman"/>
          <w:b/>
          <w:bCs/>
          <w:sz w:val="24"/>
          <w:szCs w:val="24"/>
        </w:rPr>
      </w:pPr>
      <w:r w:rsidRPr="001E2EF8">
        <w:rPr>
          <w:rFonts w:ascii="Times New Roman" w:hAnsi="Times New Roman" w:cs="Times New Roman"/>
          <w:b/>
          <w:bCs/>
          <w:sz w:val="24"/>
          <w:szCs w:val="24"/>
        </w:rPr>
        <w:t>Limitations and Future Directions.</w:t>
      </w:r>
    </w:p>
    <w:p w14:paraId="3561BEC1" w14:textId="77777777" w:rsidR="001E2EF8" w:rsidRPr="001E2EF8" w:rsidRDefault="001E2EF8" w:rsidP="001E2EF8">
      <w:pPr>
        <w:jc w:val="both"/>
        <w:rPr>
          <w:rFonts w:ascii="Times New Roman" w:hAnsi="Times New Roman" w:cs="Times New Roman"/>
          <w:sz w:val="24"/>
          <w:szCs w:val="24"/>
        </w:rPr>
      </w:pPr>
      <w:r w:rsidRPr="001E2EF8">
        <w:rPr>
          <w:rFonts w:ascii="Times New Roman" w:hAnsi="Times New Roman" w:cs="Times New Roman"/>
          <w:sz w:val="24"/>
          <w:szCs w:val="24"/>
        </w:rPr>
        <w:t xml:space="preserve">There are a number of weaknesses of this study that should be noted. To begin with, the cross-sectional design does not allow causal inferences regarding relationships observed. Longitudinal designs would be more appropriate to determine the temporal precedence needed to make causal mediation assertions. Second, the research study employed self-report measures only, which can contribute to the common method variance. To address this issue, future research could use multisource data gathering approaches, such as supervisor ratings or organizational documentation. Third, the research targeted middle level workers in Quetta, and this restricted the applicability of the results to other levels of workers, regions and sectors of an organization. Further studies could consider this model to other front-line workers or senior management, and NGOs in other cities of Pakistan or other developing nations. Moreover, further research can cover other mediators or moderators including organisational culture, leadership, or work-life balance to offer a more detailed explanation of the processes </w:t>
      </w:r>
      <w:r w:rsidRPr="001E2EF8">
        <w:rPr>
          <w:rFonts w:ascii="Times New Roman" w:hAnsi="Times New Roman" w:cs="Times New Roman"/>
          <w:sz w:val="24"/>
          <w:szCs w:val="24"/>
        </w:rPr>
        <w:lastRenderedPageBreak/>
        <w:t>that connect CSE with organisational commitment.</w:t>
      </w:r>
    </w:p>
    <w:p w14:paraId="2D0DAB1F" w14:textId="77777777" w:rsidR="0047692A" w:rsidRDefault="0047692A" w:rsidP="0047692A">
      <w:pPr>
        <w:pStyle w:val="Heading5"/>
        <w:spacing w:before="0"/>
        <w:jc w:val="both"/>
        <w:rPr>
          <w:rFonts w:ascii="Times New Roman" w:hAnsi="Times New Roman" w:cs="Times New Roman"/>
          <w:sz w:val="24"/>
          <w:szCs w:val="24"/>
        </w:rPr>
      </w:pPr>
      <w:bookmarkStart w:id="1" w:name="_Hlk99156361"/>
      <w:bookmarkEnd w:id="0"/>
    </w:p>
    <w:p w14:paraId="006A9437" w14:textId="77777777" w:rsidR="0047692A" w:rsidRPr="0047692A" w:rsidRDefault="0047692A" w:rsidP="0047692A">
      <w:pPr>
        <w:pStyle w:val="Heading5"/>
        <w:spacing w:before="0"/>
        <w:jc w:val="both"/>
        <w:rPr>
          <w:rFonts w:ascii="Times New Roman" w:hAnsi="Times New Roman" w:cs="Times New Roman"/>
          <w:b/>
          <w:sz w:val="24"/>
          <w:szCs w:val="24"/>
        </w:rPr>
      </w:pPr>
      <w:r w:rsidRPr="0047692A">
        <w:rPr>
          <w:rFonts w:ascii="Times New Roman" w:hAnsi="Times New Roman" w:cs="Times New Roman"/>
          <w:b/>
          <w:sz w:val="24"/>
          <w:szCs w:val="24"/>
        </w:rPr>
        <w:t>References</w:t>
      </w:r>
    </w:p>
    <w:bookmarkEnd w:id="1"/>
    <w:p w14:paraId="3ACC533E" w14:textId="77777777" w:rsidR="001E2EF8" w:rsidRPr="001E2EF8" w:rsidRDefault="001E2EF8" w:rsidP="001E2EF8">
      <w:pPr>
        <w:adjustRightInd w:val="0"/>
        <w:ind w:left="640" w:hanging="640"/>
        <w:jc w:val="both"/>
        <w:rPr>
          <w:rFonts w:ascii="Times New Roman" w:hAnsi="Times New Roman" w:cs="Times New Roman"/>
          <w:sz w:val="24"/>
          <w:szCs w:val="24"/>
        </w:rPr>
      </w:pPr>
      <w:r w:rsidRPr="001E2EF8">
        <w:rPr>
          <w:rFonts w:ascii="Times New Roman" w:hAnsi="Times New Roman" w:cs="Times New Roman"/>
          <w:sz w:val="24"/>
          <w:szCs w:val="24"/>
        </w:rPr>
        <w:t>Akbar, R., Musnadi, S., &amp; Putra, T. R. I. (2020). The effect of organizational commitment, emotional intelligence and compensation on performance of Satpol PP and WH Aceh employee through job satisfaction. International Journal of Scientific and Management Research, 3(3), 8-22.</w:t>
      </w:r>
    </w:p>
    <w:p w14:paraId="4BA2552D" w14:textId="77777777" w:rsidR="001E2EF8" w:rsidRPr="001E2EF8" w:rsidRDefault="001E2EF8" w:rsidP="001E2EF8">
      <w:pPr>
        <w:adjustRightInd w:val="0"/>
        <w:ind w:left="640" w:hanging="640"/>
        <w:jc w:val="both"/>
        <w:rPr>
          <w:rFonts w:ascii="Times New Roman" w:hAnsi="Times New Roman" w:cs="Times New Roman"/>
          <w:sz w:val="24"/>
          <w:szCs w:val="24"/>
        </w:rPr>
      </w:pPr>
      <w:r w:rsidRPr="001E2EF8">
        <w:rPr>
          <w:rFonts w:ascii="Times New Roman" w:hAnsi="Times New Roman" w:cs="Times New Roman"/>
          <w:sz w:val="24"/>
          <w:szCs w:val="24"/>
        </w:rPr>
        <w:t>Akintayo, D. I. (2010). Work-family role conflict and organizational commitment among industrial workers in Nigeria. Journal of Psychology and counseling, 2(1), 1-8.</w:t>
      </w:r>
    </w:p>
    <w:p w14:paraId="2DAA8F84" w14:textId="77777777" w:rsidR="001E2EF8" w:rsidRPr="001E2EF8" w:rsidRDefault="001E2EF8" w:rsidP="001E2EF8">
      <w:pPr>
        <w:adjustRightInd w:val="0"/>
        <w:ind w:left="640" w:hanging="640"/>
        <w:jc w:val="both"/>
        <w:rPr>
          <w:rFonts w:ascii="Times New Roman" w:hAnsi="Times New Roman" w:cs="Times New Roman"/>
          <w:sz w:val="24"/>
          <w:szCs w:val="24"/>
        </w:rPr>
      </w:pPr>
      <w:r w:rsidRPr="001E2EF8">
        <w:rPr>
          <w:rFonts w:ascii="Times New Roman" w:hAnsi="Times New Roman" w:cs="Times New Roman"/>
          <w:sz w:val="24"/>
          <w:szCs w:val="24"/>
        </w:rPr>
        <w:t>Allen, N. J., &amp; Meyer, J. P. (1990). The measurement and antecedents of affective, continuance and normative commitment to the organization. Journal of occupational psychology, 63(1), 1-18.</w:t>
      </w:r>
    </w:p>
    <w:p w14:paraId="03509193" w14:textId="77777777" w:rsidR="001E2EF8" w:rsidRPr="001E2EF8" w:rsidRDefault="001E2EF8" w:rsidP="001E2EF8">
      <w:pPr>
        <w:adjustRightInd w:val="0"/>
        <w:ind w:left="640" w:hanging="640"/>
        <w:jc w:val="both"/>
        <w:rPr>
          <w:rFonts w:ascii="Times New Roman" w:hAnsi="Times New Roman" w:cs="Times New Roman"/>
          <w:sz w:val="24"/>
          <w:szCs w:val="24"/>
        </w:rPr>
      </w:pPr>
      <w:r w:rsidRPr="001E2EF8">
        <w:rPr>
          <w:rFonts w:ascii="Times New Roman" w:hAnsi="Times New Roman" w:cs="Times New Roman"/>
          <w:sz w:val="24"/>
          <w:szCs w:val="24"/>
        </w:rPr>
        <w:t>Baron, R. M., &amp; Kenny, D. A. (1986). The moderator–mediator variable distinction in social psychological research: Conceptual, strategic, and statistical considerations. Journal of personality and social psychology, 51(6), 1173.</w:t>
      </w:r>
    </w:p>
    <w:p w14:paraId="44ED66FB" w14:textId="77777777" w:rsidR="001E2EF8" w:rsidRPr="001E2EF8" w:rsidRDefault="001E2EF8" w:rsidP="001E2EF8">
      <w:pPr>
        <w:adjustRightInd w:val="0"/>
        <w:ind w:left="640" w:hanging="640"/>
        <w:jc w:val="both"/>
        <w:rPr>
          <w:rFonts w:ascii="Times New Roman" w:hAnsi="Times New Roman" w:cs="Times New Roman"/>
          <w:sz w:val="24"/>
          <w:szCs w:val="24"/>
        </w:rPr>
      </w:pPr>
      <w:r w:rsidRPr="001E2EF8">
        <w:rPr>
          <w:rFonts w:ascii="Times New Roman" w:hAnsi="Times New Roman" w:cs="Times New Roman"/>
          <w:sz w:val="24"/>
          <w:szCs w:val="24"/>
        </w:rPr>
        <w:t>Blau, P. (2017). Exchange and power in social life. Routledge.</w:t>
      </w:r>
    </w:p>
    <w:p w14:paraId="629475F6" w14:textId="77777777" w:rsidR="001E2EF8" w:rsidRPr="001E2EF8" w:rsidRDefault="001E2EF8" w:rsidP="001E2EF8">
      <w:pPr>
        <w:adjustRightInd w:val="0"/>
        <w:ind w:left="640" w:hanging="640"/>
        <w:jc w:val="both"/>
        <w:rPr>
          <w:rFonts w:ascii="Times New Roman" w:hAnsi="Times New Roman" w:cs="Times New Roman"/>
          <w:sz w:val="24"/>
          <w:szCs w:val="24"/>
        </w:rPr>
      </w:pPr>
      <w:r w:rsidRPr="001E2EF8">
        <w:rPr>
          <w:rFonts w:ascii="Times New Roman" w:hAnsi="Times New Roman" w:cs="Times New Roman"/>
          <w:sz w:val="24"/>
          <w:szCs w:val="24"/>
        </w:rPr>
        <w:t>Bono, J. E., &amp; Judge, T. A. (2003). Core self‐evaluations: A review of the trait and its role in job satisfaction and job performance. European Journal of personality, 17(1_suppl), S5-S18.</w:t>
      </w:r>
    </w:p>
    <w:p w14:paraId="747E59D9" w14:textId="77777777" w:rsidR="001E2EF8" w:rsidRPr="001E2EF8" w:rsidRDefault="001E2EF8" w:rsidP="001E2EF8">
      <w:pPr>
        <w:adjustRightInd w:val="0"/>
        <w:ind w:left="640" w:hanging="640"/>
        <w:jc w:val="both"/>
        <w:rPr>
          <w:rFonts w:ascii="Times New Roman" w:hAnsi="Times New Roman" w:cs="Times New Roman"/>
          <w:sz w:val="24"/>
          <w:szCs w:val="24"/>
        </w:rPr>
      </w:pPr>
      <w:r w:rsidRPr="001E2EF8">
        <w:rPr>
          <w:rFonts w:ascii="Times New Roman" w:hAnsi="Times New Roman" w:cs="Times New Roman"/>
          <w:sz w:val="24"/>
          <w:szCs w:val="24"/>
        </w:rPr>
        <w:t>Borzaga, C., &amp; Tortia, E. (2006). Worker motivations, job satisfaction, and loyalty in public and nonprofit social services. Nonprofit and voluntary sector quarterly, 35(2), 225-248.</w:t>
      </w:r>
    </w:p>
    <w:p w14:paraId="2E49C0DC" w14:textId="77777777" w:rsidR="001E2EF8" w:rsidRPr="001E2EF8" w:rsidRDefault="001E2EF8" w:rsidP="001E2EF8">
      <w:pPr>
        <w:adjustRightInd w:val="0"/>
        <w:ind w:left="640" w:hanging="640"/>
        <w:jc w:val="both"/>
        <w:rPr>
          <w:rFonts w:ascii="Times New Roman" w:hAnsi="Times New Roman" w:cs="Times New Roman"/>
          <w:sz w:val="24"/>
          <w:szCs w:val="24"/>
        </w:rPr>
      </w:pPr>
      <w:r w:rsidRPr="001E2EF8">
        <w:rPr>
          <w:rFonts w:ascii="Times New Roman" w:hAnsi="Times New Roman" w:cs="Times New Roman"/>
          <w:sz w:val="24"/>
          <w:szCs w:val="24"/>
        </w:rPr>
        <w:t>Chang, C. H., Ferris, D. L., Johnson, R. E., Rosen, C. C., &amp; Tan, J. A. (2012). Core self-evaluations: A review and evaluation of the literature. Journal of management, 38(1), 81-128.</w:t>
      </w:r>
    </w:p>
    <w:p w14:paraId="5E788878" w14:textId="77777777" w:rsidR="001E2EF8" w:rsidRPr="001E2EF8" w:rsidRDefault="001E2EF8" w:rsidP="001E2EF8">
      <w:pPr>
        <w:adjustRightInd w:val="0"/>
        <w:ind w:left="640" w:hanging="640"/>
        <w:jc w:val="both"/>
        <w:rPr>
          <w:rFonts w:ascii="Times New Roman" w:hAnsi="Times New Roman" w:cs="Times New Roman"/>
          <w:sz w:val="24"/>
          <w:szCs w:val="24"/>
        </w:rPr>
      </w:pPr>
      <w:r w:rsidRPr="001E2EF8">
        <w:rPr>
          <w:rFonts w:ascii="Times New Roman" w:hAnsi="Times New Roman" w:cs="Times New Roman"/>
          <w:sz w:val="24"/>
          <w:szCs w:val="24"/>
        </w:rPr>
        <w:t>Erez, A., &amp; Judge, T. A. (2001). Relationship of core self-evaluations to goal setting, motivation, and performance. Journal of applied psychology, 86(6), 1270.</w:t>
      </w:r>
    </w:p>
    <w:p w14:paraId="5118478C" w14:textId="77777777" w:rsidR="001E2EF8" w:rsidRPr="001E2EF8" w:rsidRDefault="001E2EF8" w:rsidP="001E2EF8">
      <w:pPr>
        <w:adjustRightInd w:val="0"/>
        <w:ind w:left="640" w:hanging="640"/>
        <w:jc w:val="both"/>
        <w:rPr>
          <w:rFonts w:ascii="Times New Roman" w:hAnsi="Times New Roman" w:cs="Times New Roman"/>
          <w:sz w:val="24"/>
          <w:szCs w:val="24"/>
        </w:rPr>
      </w:pPr>
      <w:r w:rsidRPr="001E2EF8">
        <w:rPr>
          <w:rFonts w:ascii="Times New Roman" w:hAnsi="Times New Roman" w:cs="Times New Roman"/>
          <w:sz w:val="24"/>
          <w:szCs w:val="24"/>
        </w:rPr>
        <w:t>Judge, T. A. (1997). The dispositional causes of job satisfaction: A core evaluations approach. Research in organizational behavior, 19, 151-188.</w:t>
      </w:r>
    </w:p>
    <w:p w14:paraId="2B7DAB8A" w14:textId="77777777" w:rsidR="001E2EF8" w:rsidRPr="001E2EF8" w:rsidRDefault="001E2EF8" w:rsidP="001E2EF8">
      <w:pPr>
        <w:adjustRightInd w:val="0"/>
        <w:ind w:left="640" w:hanging="640"/>
        <w:jc w:val="both"/>
        <w:rPr>
          <w:rFonts w:ascii="Times New Roman" w:hAnsi="Times New Roman" w:cs="Times New Roman"/>
          <w:sz w:val="24"/>
          <w:szCs w:val="24"/>
        </w:rPr>
      </w:pPr>
      <w:r w:rsidRPr="001E2EF8">
        <w:rPr>
          <w:rFonts w:ascii="Times New Roman" w:hAnsi="Times New Roman" w:cs="Times New Roman"/>
          <w:sz w:val="24"/>
          <w:szCs w:val="24"/>
        </w:rPr>
        <w:t>Judge, T. A., Erez, A., Bono, J. E., &amp; Thoresen, C. J. (2002). Are measures of self-esteem, neuroticism, locus of control, and generalized self-efficacy indicators of a common core construct?. Journal of personality and social psychology, 83(3), 693.</w:t>
      </w:r>
    </w:p>
    <w:p w14:paraId="0F2A9345" w14:textId="77777777" w:rsidR="001E2EF8" w:rsidRPr="001E2EF8" w:rsidRDefault="001E2EF8" w:rsidP="001E2EF8">
      <w:pPr>
        <w:adjustRightInd w:val="0"/>
        <w:ind w:left="640" w:hanging="640"/>
        <w:jc w:val="both"/>
        <w:rPr>
          <w:rFonts w:ascii="Times New Roman" w:hAnsi="Times New Roman" w:cs="Times New Roman"/>
          <w:sz w:val="24"/>
          <w:szCs w:val="24"/>
        </w:rPr>
      </w:pPr>
      <w:r w:rsidRPr="001E2EF8">
        <w:rPr>
          <w:rFonts w:ascii="Times New Roman" w:hAnsi="Times New Roman" w:cs="Times New Roman"/>
          <w:sz w:val="24"/>
          <w:szCs w:val="24"/>
        </w:rPr>
        <w:t>Judge, T. A., Erez, A., Bono, J. E., &amp; Thoresen, C. J. (2003). The core self‐evaluations scale: Development of a measure. Personnel psychology, 56(2), 303-331.</w:t>
      </w:r>
    </w:p>
    <w:p w14:paraId="6F607224" w14:textId="77777777" w:rsidR="001E2EF8" w:rsidRPr="001E2EF8" w:rsidRDefault="001E2EF8" w:rsidP="001E2EF8">
      <w:pPr>
        <w:adjustRightInd w:val="0"/>
        <w:ind w:left="640" w:hanging="640"/>
        <w:jc w:val="both"/>
        <w:rPr>
          <w:rFonts w:ascii="Times New Roman" w:hAnsi="Times New Roman" w:cs="Times New Roman"/>
          <w:sz w:val="24"/>
          <w:szCs w:val="24"/>
        </w:rPr>
      </w:pPr>
      <w:r w:rsidRPr="001E2EF8">
        <w:rPr>
          <w:rFonts w:ascii="Times New Roman" w:hAnsi="Times New Roman" w:cs="Times New Roman"/>
          <w:sz w:val="24"/>
          <w:szCs w:val="24"/>
        </w:rPr>
        <w:t>Judge, T. A., Zhang, S. C., &amp; Glerum, D. R. (2020). Job satisfaction. Essentials of job attitudes and other workplace psychological constructs, 207-241.</w:t>
      </w:r>
    </w:p>
    <w:p w14:paraId="6207B222" w14:textId="77777777" w:rsidR="001E2EF8" w:rsidRPr="001E2EF8" w:rsidRDefault="001E2EF8" w:rsidP="001E2EF8">
      <w:pPr>
        <w:adjustRightInd w:val="0"/>
        <w:ind w:left="640" w:hanging="640"/>
        <w:jc w:val="both"/>
        <w:rPr>
          <w:rFonts w:ascii="Times New Roman" w:hAnsi="Times New Roman" w:cs="Times New Roman"/>
          <w:sz w:val="24"/>
          <w:szCs w:val="24"/>
        </w:rPr>
      </w:pPr>
      <w:r w:rsidRPr="001E2EF8">
        <w:rPr>
          <w:rFonts w:ascii="Times New Roman" w:hAnsi="Times New Roman" w:cs="Times New Roman"/>
          <w:sz w:val="24"/>
          <w:szCs w:val="24"/>
        </w:rPr>
        <w:t>Locke, E. A. (1969). What is job satisfaction?. Organizational behavior and human performance, 4(4), 309-336.</w:t>
      </w:r>
    </w:p>
    <w:p w14:paraId="5C49A149" w14:textId="77777777" w:rsidR="001E2EF8" w:rsidRPr="001E2EF8" w:rsidRDefault="001E2EF8" w:rsidP="001E2EF8">
      <w:pPr>
        <w:adjustRightInd w:val="0"/>
        <w:ind w:left="640" w:hanging="640"/>
        <w:jc w:val="both"/>
        <w:rPr>
          <w:rFonts w:ascii="Times New Roman" w:hAnsi="Times New Roman" w:cs="Times New Roman"/>
          <w:sz w:val="24"/>
          <w:szCs w:val="24"/>
        </w:rPr>
      </w:pPr>
      <w:r w:rsidRPr="001E2EF8">
        <w:rPr>
          <w:rFonts w:ascii="Times New Roman" w:hAnsi="Times New Roman" w:cs="Times New Roman"/>
          <w:sz w:val="24"/>
          <w:szCs w:val="24"/>
        </w:rPr>
        <w:t>Meyer, J. P., &amp; Allen, N. J. (1991). A three-component conceptualization of organizational commitment. Human resource management review, 1(1), 61-89.</w:t>
      </w:r>
    </w:p>
    <w:p w14:paraId="0FBD4CAF" w14:textId="77777777" w:rsidR="001E2EF8" w:rsidRPr="001E2EF8" w:rsidRDefault="001E2EF8" w:rsidP="001E2EF8">
      <w:pPr>
        <w:adjustRightInd w:val="0"/>
        <w:ind w:left="640" w:hanging="640"/>
        <w:jc w:val="both"/>
        <w:rPr>
          <w:rFonts w:ascii="Times New Roman" w:hAnsi="Times New Roman" w:cs="Times New Roman"/>
          <w:sz w:val="24"/>
          <w:szCs w:val="24"/>
        </w:rPr>
      </w:pPr>
      <w:r w:rsidRPr="001E2EF8">
        <w:rPr>
          <w:rFonts w:ascii="Times New Roman" w:hAnsi="Times New Roman" w:cs="Times New Roman"/>
          <w:sz w:val="24"/>
          <w:szCs w:val="24"/>
        </w:rPr>
        <w:t>Nazir, S., Shafi, A., Qun, W., Nazir, N., &amp; Tran, Q. D. (2016). Influence of organizational rewards on organizational commitment and turnover intentions. Employee Relations, 38(4), 596-619.</w:t>
      </w:r>
    </w:p>
    <w:p w14:paraId="6C337CE9" w14:textId="77777777" w:rsidR="001E2EF8" w:rsidRPr="001E2EF8" w:rsidRDefault="001E2EF8" w:rsidP="001E2EF8">
      <w:pPr>
        <w:adjustRightInd w:val="0"/>
        <w:ind w:left="640" w:hanging="640"/>
        <w:jc w:val="both"/>
        <w:rPr>
          <w:rFonts w:ascii="Times New Roman" w:hAnsi="Times New Roman" w:cs="Times New Roman"/>
          <w:sz w:val="24"/>
          <w:szCs w:val="24"/>
        </w:rPr>
      </w:pPr>
      <w:r w:rsidRPr="001E2EF8">
        <w:rPr>
          <w:rFonts w:ascii="Times New Roman" w:hAnsi="Times New Roman" w:cs="Times New Roman"/>
          <w:sz w:val="24"/>
          <w:szCs w:val="24"/>
        </w:rPr>
        <w:lastRenderedPageBreak/>
        <w:t>Nunnally, J. C. (1978). Psychometric theory (2nd ed.). McGraw-Hill.</w:t>
      </w:r>
    </w:p>
    <w:p w14:paraId="0E4BDE59" w14:textId="77777777" w:rsidR="001E2EF8" w:rsidRPr="001E2EF8" w:rsidRDefault="001E2EF8" w:rsidP="001E2EF8">
      <w:pPr>
        <w:adjustRightInd w:val="0"/>
        <w:ind w:left="640" w:hanging="640"/>
        <w:jc w:val="both"/>
        <w:rPr>
          <w:rFonts w:ascii="Times New Roman" w:hAnsi="Times New Roman" w:cs="Times New Roman"/>
          <w:sz w:val="24"/>
          <w:szCs w:val="24"/>
        </w:rPr>
      </w:pPr>
      <w:r w:rsidRPr="001E2EF8">
        <w:rPr>
          <w:rFonts w:ascii="Times New Roman" w:hAnsi="Times New Roman" w:cs="Times New Roman"/>
          <w:sz w:val="24"/>
          <w:szCs w:val="24"/>
        </w:rPr>
        <w:t>Piccolo, R. F., Judge, T. A., Takahashi, K., Watanabe, N., &amp; Locke, E. A. (2005). Core self‐evaluations in Japan: relative effects on job satisfaction, life satisfaction, and happiness. Journal of Organizational Behavior: The International Journal of Industrial, Occupational and Organizational Psychology and Behavior, 26(8), 965-984.</w:t>
      </w:r>
    </w:p>
    <w:p w14:paraId="0F9DBECC" w14:textId="77777777" w:rsidR="001E2EF8" w:rsidRPr="001E2EF8" w:rsidRDefault="001E2EF8" w:rsidP="001E2EF8">
      <w:pPr>
        <w:adjustRightInd w:val="0"/>
        <w:ind w:left="640" w:hanging="640"/>
        <w:jc w:val="both"/>
        <w:rPr>
          <w:rFonts w:ascii="Times New Roman" w:hAnsi="Times New Roman" w:cs="Times New Roman"/>
          <w:sz w:val="24"/>
          <w:szCs w:val="24"/>
        </w:rPr>
      </w:pPr>
      <w:r w:rsidRPr="001E2EF8">
        <w:rPr>
          <w:rFonts w:ascii="Times New Roman" w:hAnsi="Times New Roman" w:cs="Times New Roman"/>
          <w:sz w:val="24"/>
          <w:szCs w:val="24"/>
        </w:rPr>
        <w:t>Rehman, S. U., Bhatti, A., Mohamed, R., &amp; Ayoup, H. (2019). The moderating role of trust and commitment between consumer purchase intention and online shopping behavior in the context of Pakistan. Journal of Global Entrepreneurship Research, 9(1), 1-25.</w:t>
      </w:r>
    </w:p>
    <w:p w14:paraId="31AD5002" w14:textId="77777777" w:rsidR="001E2EF8" w:rsidRPr="001E2EF8" w:rsidRDefault="001E2EF8" w:rsidP="001E2EF8">
      <w:pPr>
        <w:adjustRightInd w:val="0"/>
        <w:ind w:left="640" w:hanging="640"/>
        <w:jc w:val="both"/>
        <w:rPr>
          <w:rFonts w:ascii="Times New Roman" w:hAnsi="Times New Roman" w:cs="Times New Roman"/>
          <w:sz w:val="24"/>
          <w:szCs w:val="24"/>
        </w:rPr>
      </w:pPr>
      <w:r w:rsidRPr="001E2EF8">
        <w:rPr>
          <w:rFonts w:ascii="Times New Roman" w:hAnsi="Times New Roman" w:cs="Times New Roman"/>
          <w:sz w:val="24"/>
          <w:szCs w:val="24"/>
        </w:rPr>
        <w:t>Sobel, M. E. (1982). Asymptotic confidence intervals for indirect effects in structural equation models. Sociological methodology, 13, 290-312.</w:t>
      </w:r>
    </w:p>
    <w:p w14:paraId="40849DDB" w14:textId="3604CB65" w:rsidR="00424F74" w:rsidRPr="001E2EF8" w:rsidRDefault="001E2EF8" w:rsidP="001E2EF8">
      <w:pPr>
        <w:adjustRightInd w:val="0"/>
        <w:ind w:left="640" w:hanging="640"/>
        <w:jc w:val="both"/>
        <w:rPr>
          <w:rStyle w:val="Hyperlink"/>
          <w:rFonts w:ascii="Times New Roman" w:hAnsi="Times New Roman" w:cs="Times New Roman"/>
          <w:color w:val="auto"/>
          <w:sz w:val="24"/>
          <w:szCs w:val="24"/>
          <w:u w:val="none"/>
        </w:rPr>
      </w:pPr>
      <w:r w:rsidRPr="001E2EF8">
        <w:rPr>
          <w:rFonts w:ascii="Times New Roman" w:hAnsi="Times New Roman" w:cs="Times New Roman"/>
          <w:sz w:val="24"/>
          <w:szCs w:val="24"/>
        </w:rPr>
        <w:t>Weiss, D. J. (1967). Minnesota satisfaction questionnaire. University of Minnesota, industrial relations Center, work adjustment project.</w:t>
      </w:r>
    </w:p>
    <w:sectPr w:rsidR="00424F74" w:rsidRPr="001E2EF8" w:rsidSect="001E2EF8">
      <w:headerReference w:type="default" r:id="rId12"/>
      <w:footerReference w:type="default" r:id="rId13"/>
      <w:pgSz w:w="11906" w:h="16838"/>
      <w:pgMar w:top="1440" w:right="1800" w:bottom="1440" w:left="1800" w:header="720" w:footer="720" w:gutter="0"/>
      <w:pgNumType w:start="29"/>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114D48" w14:textId="77777777" w:rsidR="004327B1" w:rsidRDefault="004327B1">
      <w:r>
        <w:separator/>
      </w:r>
    </w:p>
  </w:endnote>
  <w:endnote w:type="continuationSeparator" w:id="0">
    <w:p w14:paraId="1E1B12E5" w14:textId="77777777" w:rsidR="004327B1" w:rsidRDefault="004327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MS Mincho">
    <w:panose1 w:val="02020609040205080304"/>
    <w:charset w:val="80"/>
    <w:family w:val="modern"/>
    <w:pitch w:val="fixed"/>
    <w:sig w:usb0="E00002FF" w:usb1="6AC7FDFB" w:usb2="08000012" w:usb3="00000000" w:csb0="0002009F" w:csb1="00000000"/>
  </w:font>
  <w:font w:name="Calisto MT">
    <w:panose1 w:val="020406030505050303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764DB" w14:textId="77777777" w:rsidR="00424F74" w:rsidRDefault="00371977">
    <w:pPr>
      <w:pStyle w:val="Footer"/>
    </w:pPr>
    <w:r>
      <w:rPr>
        <w:noProof/>
      </w:rPr>
      <mc:AlternateContent>
        <mc:Choice Requires="wps">
          <w:drawing>
            <wp:anchor distT="0" distB="0" distL="114300" distR="114300" simplePos="0" relativeHeight="251663360" behindDoc="0" locked="0" layoutInCell="1" allowOverlap="1" wp14:anchorId="1E831D39" wp14:editId="2704C8E8">
              <wp:simplePos x="0" y="0"/>
              <wp:positionH relativeFrom="margin">
                <wp:align>center</wp:align>
              </wp:positionH>
              <wp:positionV relativeFrom="paragraph">
                <wp:posOffset>0</wp:posOffset>
              </wp:positionV>
              <wp:extent cx="1828800" cy="1828800"/>
              <wp:effectExtent l="0" t="0" r="0" b="0"/>
              <wp:wrapNone/>
              <wp:docPr id="17" name="Text Box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CBAFEC" w14:textId="77777777" w:rsidR="00424F74" w:rsidRDefault="00371977">
                          <w:pPr>
                            <w:pStyle w:val="Footer"/>
                            <w:rPr>
                              <w:b/>
                              <w:bCs/>
                            </w:rPr>
                          </w:pPr>
                          <w:r>
                            <w:rPr>
                              <w:b/>
                              <w:bCs/>
                            </w:rPr>
                            <w:t xml:space="preserve">Page </w:t>
                          </w:r>
                          <w:r>
                            <w:rPr>
                              <w:b/>
                              <w:bCs/>
                            </w:rPr>
                            <w:fldChar w:fldCharType="begin"/>
                          </w:r>
                          <w:r>
                            <w:rPr>
                              <w:b/>
                              <w:bCs/>
                            </w:rPr>
                            <w:instrText xml:space="preserve"> PAGE  \* MERGEFORMAT </w:instrText>
                          </w:r>
                          <w:r>
                            <w:rPr>
                              <w:b/>
                              <w:bCs/>
                            </w:rPr>
                            <w:fldChar w:fldCharType="separate"/>
                          </w:r>
                          <w:r w:rsidR="0081798C">
                            <w:rPr>
                              <w:b/>
                              <w:bCs/>
                              <w:noProof/>
                            </w:rPr>
                            <w:t>202</w:t>
                          </w:r>
                          <w:r>
                            <w:rPr>
                              <w:b/>
                              <w:bCs/>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1E831D39" id="_x0000_t202" coordsize="21600,21600" o:spt="202" path="m,l,21600r21600,l21600,xe">
              <v:stroke joinstyle="miter"/>
              <v:path gradientshapeok="t" o:connecttype="rect"/>
            </v:shapetype>
            <v:shape id="Text Box 17" o:spid="_x0000_s1034" type="#_x0000_t202" style="position:absolute;margin-left:0;margin-top:0;width:2in;height:2in;z-index:25166336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Cl5F/VQQIAAOsEAAAOAAAAAAAA&#10;AAAAAAAAAC4CAABkcnMvZTJvRG9jLnhtbFBLAQItABQABgAIAAAAIQBxqtG51wAAAAUBAAAPAAAA&#10;AAAAAAAAAAAAAJsEAABkcnMvZG93bnJldi54bWxQSwUGAAAAAAQABADzAAAAnwUAAAAA&#10;" filled="f" stroked="f" strokeweight=".5pt">
              <v:textbox style="mso-fit-shape-to-text:t" inset="0,0,0,0">
                <w:txbxContent>
                  <w:p w14:paraId="6CCBAFEC" w14:textId="77777777" w:rsidR="00424F74" w:rsidRDefault="00371977">
                    <w:pPr>
                      <w:pStyle w:val="Footer"/>
                      <w:rPr>
                        <w:b/>
                        <w:bCs/>
                      </w:rPr>
                    </w:pPr>
                    <w:r>
                      <w:rPr>
                        <w:b/>
                        <w:bCs/>
                      </w:rPr>
                      <w:t xml:space="preserve">Page </w:t>
                    </w:r>
                    <w:r>
                      <w:rPr>
                        <w:b/>
                        <w:bCs/>
                      </w:rPr>
                      <w:fldChar w:fldCharType="begin"/>
                    </w:r>
                    <w:r>
                      <w:rPr>
                        <w:b/>
                        <w:bCs/>
                      </w:rPr>
                      <w:instrText xml:space="preserve"> PAGE  \* MERGEFORMAT </w:instrText>
                    </w:r>
                    <w:r>
                      <w:rPr>
                        <w:b/>
                        <w:bCs/>
                      </w:rPr>
                      <w:fldChar w:fldCharType="separate"/>
                    </w:r>
                    <w:r w:rsidR="0081798C">
                      <w:rPr>
                        <w:b/>
                        <w:bCs/>
                        <w:noProof/>
                      </w:rPr>
                      <w:t>202</w:t>
                    </w:r>
                    <w:r>
                      <w:rPr>
                        <w:b/>
                        <w:bCs/>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D75B41" w14:textId="77777777" w:rsidR="004327B1" w:rsidRDefault="004327B1">
      <w:r>
        <w:separator/>
      </w:r>
    </w:p>
  </w:footnote>
  <w:footnote w:type="continuationSeparator" w:id="0">
    <w:p w14:paraId="3916A0E8" w14:textId="77777777" w:rsidR="004327B1" w:rsidRDefault="004327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5B327" w14:textId="0588EE60" w:rsidR="00424F74" w:rsidRDefault="00371977">
    <w:pPr>
      <w:pStyle w:val="Header"/>
    </w:pPr>
    <w:r>
      <w:rPr>
        <w:rFonts w:asciiTheme="majorBidi" w:hAnsiTheme="majorBidi" w:cstheme="majorBidi"/>
        <w:noProof/>
      </w:rPr>
      <mc:AlternateContent>
        <mc:Choice Requires="wpg">
          <w:drawing>
            <wp:anchor distT="0" distB="0" distL="0" distR="0" simplePos="0" relativeHeight="251660288" behindDoc="1" locked="0" layoutInCell="1" allowOverlap="1" wp14:anchorId="0D045FE7" wp14:editId="7BDFE94C">
              <wp:simplePos x="0" y="0"/>
              <wp:positionH relativeFrom="page">
                <wp:posOffset>662305</wp:posOffset>
              </wp:positionH>
              <wp:positionV relativeFrom="paragraph">
                <wp:posOffset>-331470</wp:posOffset>
              </wp:positionV>
              <wp:extent cx="6649085" cy="1045845"/>
              <wp:effectExtent l="0" t="4445" r="5715" b="16510"/>
              <wp:wrapTopAndBottom/>
              <wp:docPr id="1443333110" name="docshapegroup12"/>
              <wp:cNvGraphicFramePr/>
              <a:graphic xmlns:a="http://schemas.openxmlformats.org/drawingml/2006/main">
                <a:graphicData uri="http://schemas.microsoft.com/office/word/2010/wordprocessingGroup">
                  <wpg:wgp>
                    <wpg:cNvGrpSpPr/>
                    <wpg:grpSpPr>
                      <a:xfrm>
                        <a:off x="0" y="0"/>
                        <a:ext cx="6649085" cy="1045845"/>
                        <a:chOff x="904" y="211"/>
                        <a:chExt cx="10471" cy="1647"/>
                      </a:xfrm>
                      <a:solidFill>
                        <a:schemeClr val="accent5">
                          <a:lumMod val="75000"/>
                        </a:schemeClr>
                      </a:solidFill>
                    </wpg:grpSpPr>
                    <wps:wsp>
                      <wps:cNvPr id="1693010638" name="docshape13"/>
                      <wps:cNvSpPr>
                        <a:spLocks noChangeArrowheads="1"/>
                      </wps:cNvSpPr>
                      <wps:spPr bwMode="auto">
                        <a:xfrm>
                          <a:off x="935" y="306"/>
                          <a:ext cx="10440" cy="1440"/>
                        </a:xfrm>
                        <a:prstGeom prst="rect">
                          <a:avLst/>
                        </a:prstGeom>
                        <a:grpFill/>
                        <a:ln>
                          <a:noFill/>
                        </a:ln>
                      </wps:spPr>
                      <wps:bodyPr rot="0" vert="horz" wrap="square" lIns="91440" tIns="45720" rIns="91440" bIns="45720" anchor="t" anchorCtr="0" upright="1">
                        <a:noAutofit/>
                      </wps:bodyPr>
                    </wps:wsp>
                    <wps:wsp>
                      <wps:cNvPr id="1679253446" name="Line 48"/>
                      <wps:cNvCnPr>
                        <a:cxnSpLocks noChangeShapeType="1"/>
                      </wps:cNvCnPr>
                      <wps:spPr bwMode="auto">
                        <a:xfrm>
                          <a:off x="904" y="211"/>
                          <a:ext cx="10440" cy="0"/>
                        </a:xfrm>
                        <a:prstGeom prst="line">
                          <a:avLst/>
                        </a:prstGeom>
                        <a:grpFill/>
                        <a:ln w="9525">
                          <a:solidFill>
                            <a:srgbClr val="231F20"/>
                          </a:solidFill>
                          <a:prstDash val="solid"/>
                          <a:round/>
                        </a:ln>
                      </wps:spPr>
                      <wps:bodyPr/>
                    </wps:wsp>
                    <wps:wsp>
                      <wps:cNvPr id="235105231" name="Line 47"/>
                      <wps:cNvCnPr>
                        <a:cxnSpLocks noChangeShapeType="1"/>
                      </wps:cNvCnPr>
                      <wps:spPr bwMode="auto">
                        <a:xfrm>
                          <a:off x="904" y="1858"/>
                          <a:ext cx="10440" cy="0"/>
                        </a:xfrm>
                        <a:prstGeom prst="line">
                          <a:avLst/>
                        </a:prstGeom>
                        <a:grpFill/>
                        <a:ln w="12701">
                          <a:solidFill>
                            <a:srgbClr val="231F20"/>
                          </a:solidFill>
                          <a:prstDash val="solid"/>
                          <a:round/>
                        </a:ln>
                      </wps:spPr>
                      <wps:bodyPr/>
                    </wps:wsp>
                    <wps:wsp>
                      <wps:cNvPr id="100971693" name="docshape23"/>
                      <wps:cNvSpPr txBox="1">
                        <a:spLocks noChangeArrowheads="1"/>
                      </wps:cNvSpPr>
                      <wps:spPr bwMode="auto">
                        <a:xfrm>
                          <a:off x="987" y="306"/>
                          <a:ext cx="10288" cy="1440"/>
                        </a:xfrm>
                        <a:prstGeom prst="rect">
                          <a:avLst/>
                        </a:prstGeom>
                        <a:grpFill/>
                        <a:ln>
                          <a:noFill/>
                        </a:ln>
                      </wps:spPr>
                      <wps:txbx>
                        <w:txbxContent>
                          <w:p w14:paraId="7AB1EEC7" w14:textId="77777777" w:rsidR="00424F74" w:rsidRDefault="00371977">
                            <w:pPr>
                              <w:spacing w:before="8"/>
                              <w:ind w:right="2590"/>
                              <w:jc w:val="right"/>
                              <w:rPr>
                                <w:rFonts w:ascii="Calisto MT" w:hAnsi="Calisto MT" w:cs="Calisto MT"/>
                                <w:b/>
                                <w:color w:val="FFFFFF"/>
                                <w:spacing w:val="-2"/>
                                <w:w w:val="110"/>
                                <w:sz w:val="32"/>
                                <w:szCs w:val="24"/>
                              </w:rPr>
                            </w:pPr>
                            <w:r>
                              <w:rPr>
                                <w:rFonts w:ascii="Calisto MT" w:hAnsi="Calisto MT" w:cs="Calisto MT"/>
                                <w:b/>
                                <w:color w:val="FFFFFF"/>
                                <w:spacing w:val="-2"/>
                                <w:w w:val="110"/>
                                <w:sz w:val="32"/>
                                <w:szCs w:val="24"/>
                              </w:rPr>
                              <w:t>Annual Methodological Archive Research Review</w:t>
                            </w:r>
                          </w:p>
                          <w:p w14:paraId="17224068" w14:textId="77777777" w:rsidR="00424F74" w:rsidRDefault="00371977">
                            <w:pPr>
                              <w:spacing w:before="8"/>
                              <w:ind w:right="2590" w:firstLineChars="250" w:firstLine="550"/>
                              <w:jc w:val="center"/>
                              <w:rPr>
                                <w:rFonts w:ascii="Calisto MT" w:hAnsi="Calisto MT" w:cs="Calisto MT"/>
                                <w:b/>
                                <w:bCs/>
                                <w:color w:val="FFFFFF" w:themeColor="background1"/>
                                <w:sz w:val="20"/>
                              </w:rPr>
                            </w:pPr>
                            <w:hyperlink r:id="rId1" w:history="1">
                              <w:r>
                                <w:rPr>
                                  <w:rStyle w:val="Hyperlink"/>
                                  <w:rFonts w:ascii="Calisto MT" w:hAnsi="Calisto MT" w:cs="Calisto MT"/>
                                  <w:b/>
                                  <w:bCs/>
                                  <w:color w:val="FFFFFF" w:themeColor="background1"/>
                                  <w:sz w:val="20"/>
                                  <w:u w:val="none"/>
                                </w:rPr>
                                <w:t>http://amresearchreview.com/index.php/Journal/about</w:t>
                              </w:r>
                            </w:hyperlink>
                          </w:p>
                          <w:p w14:paraId="180D8FDA" w14:textId="48B5A3D2" w:rsidR="00424F74" w:rsidRDefault="00371977">
                            <w:pPr>
                              <w:spacing w:before="8"/>
                              <w:ind w:left="2589" w:right="2590"/>
                              <w:jc w:val="right"/>
                              <w:rPr>
                                <w:rFonts w:ascii="Calisto MT" w:hAnsi="Calisto MT" w:cs="Calisto MT"/>
                                <w:b/>
                                <w:bCs/>
                                <w:sz w:val="24"/>
                                <w:szCs w:val="24"/>
                              </w:rPr>
                            </w:pPr>
                            <w:r>
                              <w:rPr>
                                <w:rFonts w:ascii="Calisto MT" w:hAnsi="Calisto MT" w:cs="Calisto MT"/>
                                <w:b/>
                                <w:bCs/>
                                <w:color w:val="FFFFFF"/>
                                <w:spacing w:val="-4"/>
                                <w:sz w:val="24"/>
                                <w:szCs w:val="24"/>
                              </w:rPr>
                              <w:t>Volume</w:t>
                            </w:r>
                            <w:r w:rsidR="00945777">
                              <w:rPr>
                                <w:rFonts w:ascii="Calisto MT" w:hAnsi="Calisto MT" w:cs="Calisto MT"/>
                                <w:b/>
                                <w:bCs/>
                                <w:color w:val="FFFFFF"/>
                                <w:spacing w:val="-20"/>
                                <w:sz w:val="24"/>
                                <w:szCs w:val="24"/>
                              </w:rPr>
                              <w:t xml:space="preserve"> 4</w:t>
                            </w:r>
                            <w:r>
                              <w:rPr>
                                <w:rFonts w:ascii="Calisto MT" w:hAnsi="Calisto MT" w:cs="Calisto MT"/>
                                <w:b/>
                                <w:bCs/>
                                <w:color w:val="FFFFFF"/>
                                <w:spacing w:val="-4"/>
                                <w:sz w:val="24"/>
                                <w:szCs w:val="24"/>
                              </w:rPr>
                              <w:t>,</w:t>
                            </w:r>
                            <w:r>
                              <w:rPr>
                                <w:rFonts w:ascii="Calisto MT" w:hAnsi="Calisto MT" w:cs="Calisto MT"/>
                                <w:b/>
                                <w:bCs/>
                                <w:color w:val="FFFFFF"/>
                                <w:spacing w:val="-20"/>
                                <w:sz w:val="24"/>
                                <w:szCs w:val="24"/>
                              </w:rPr>
                              <w:t xml:space="preserve"> </w:t>
                            </w:r>
                            <w:r>
                              <w:rPr>
                                <w:rFonts w:ascii="Calisto MT" w:hAnsi="Calisto MT" w:cs="Calisto MT"/>
                                <w:b/>
                                <w:bCs/>
                                <w:color w:val="FFFFFF"/>
                                <w:spacing w:val="-4"/>
                                <w:sz w:val="24"/>
                                <w:szCs w:val="24"/>
                              </w:rPr>
                              <w:t>Issue</w:t>
                            </w:r>
                            <w:r>
                              <w:rPr>
                                <w:rFonts w:ascii="Calisto MT" w:hAnsi="Calisto MT" w:cs="Calisto MT"/>
                                <w:b/>
                                <w:bCs/>
                                <w:color w:val="FFFFFF"/>
                                <w:spacing w:val="-20"/>
                                <w:sz w:val="24"/>
                                <w:szCs w:val="24"/>
                              </w:rPr>
                              <w:t xml:space="preserve"> </w:t>
                            </w:r>
                            <w:r w:rsidR="001E2EF8">
                              <w:rPr>
                                <w:rFonts w:ascii="Calisto MT" w:hAnsi="Calisto MT" w:cs="Calisto MT"/>
                                <w:b/>
                                <w:bCs/>
                                <w:color w:val="FFFFFF"/>
                                <w:spacing w:val="-20"/>
                                <w:sz w:val="24"/>
                                <w:szCs w:val="24"/>
                              </w:rPr>
                              <w:t>4</w:t>
                            </w:r>
                            <w:r>
                              <w:rPr>
                                <w:rFonts w:ascii="Calisto MT" w:hAnsi="Calisto MT" w:cs="Calisto MT"/>
                                <w:b/>
                                <w:bCs/>
                                <w:color w:val="FFFFFF"/>
                                <w:spacing w:val="-20"/>
                                <w:sz w:val="24"/>
                                <w:szCs w:val="24"/>
                              </w:rPr>
                              <w:t xml:space="preserve"> </w:t>
                            </w:r>
                            <w:r>
                              <w:rPr>
                                <w:rFonts w:ascii="Calisto MT" w:hAnsi="Calisto MT" w:cs="Calisto MT"/>
                                <w:b/>
                                <w:bCs/>
                                <w:color w:val="FFFFFF"/>
                                <w:spacing w:val="-4"/>
                                <w:sz w:val="24"/>
                                <w:szCs w:val="24"/>
                              </w:rPr>
                              <w:t>(202</w:t>
                            </w:r>
                            <w:r w:rsidR="00945777">
                              <w:rPr>
                                <w:rFonts w:ascii="Calisto MT" w:hAnsi="Calisto MT" w:cs="Calisto MT"/>
                                <w:b/>
                                <w:bCs/>
                                <w:color w:val="FFFFFF"/>
                                <w:spacing w:val="-4"/>
                                <w:sz w:val="24"/>
                                <w:szCs w:val="24"/>
                              </w:rPr>
                              <w:t>6</w:t>
                            </w:r>
                            <w:r>
                              <w:rPr>
                                <w:rFonts w:ascii="Calisto MT" w:hAnsi="Calisto MT" w:cs="Calisto MT"/>
                                <w:b/>
                                <w:bCs/>
                                <w:color w:val="FFFFFF"/>
                                <w:spacing w:val="-4"/>
                                <w:sz w:val="24"/>
                                <w:szCs w:val="24"/>
                              </w:rPr>
                              <w:t>)</w:t>
                            </w:r>
                          </w:p>
                        </w:txbxContent>
                      </wps:txbx>
                      <wps:bodyPr rot="0" vert="horz" wrap="square" lIns="0" tIns="0" rIns="0" bIns="0" anchor="t" anchorCtr="0" upright="1">
                        <a:noAutofit/>
                      </wps:bodyPr>
                    </wps:wsp>
                  </wpg:wgp>
                </a:graphicData>
              </a:graphic>
            </wp:anchor>
          </w:drawing>
        </mc:Choice>
        <mc:Fallback>
          <w:pict>
            <v:group w14:anchorId="0D045FE7" id="docshapegroup12" o:spid="_x0000_s1027" style="position:absolute;margin-left:52.15pt;margin-top:-26.1pt;width:523.55pt;height:82.35pt;z-index:-251656192;mso-wrap-distance-left:0;mso-wrap-distance-right:0;mso-position-horizontal-relative:page" coordorigin="904,211" coordsize="10471,16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">
              <v:rect id="docshape13" o:spid="_x0000_s1028" style="position:absolute;left:935;top:306;width:10440;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" filled="f" stroked="f"/>
              <v:line id="Line 48" o:spid="_x0000_s1029" style="position:absolute;visibility:visible;mso-wrap-style:square" from="904,211" to="11344,2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" strokecolor="#231f20"/>
              <v:line id="Line 47" o:spid="_x0000_s1030" style="position:absolute;visibility:visible;mso-wrap-style:square" from="904,1858" to="11344,1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" strokecolor="#231f20" strokeweight=".35281mm"/>
              <v:shapetype id="_x0000_t202" coordsize="21600,21600" o:spt="202" path="m,l,21600r21600,l21600,xe">
                <v:stroke joinstyle="miter"/>
                <v:path gradientshapeok="t" o:connecttype="rect"/>
              </v:shapetype>
              <v:shape id="docshape23" o:spid="_x0000_s1031" type="#_x0000_t202" style="position:absolute;left:987;top:306;width:10288;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" filled="f" stroked="f">
                <v:textbox inset="0,0,0,0">
                  <w:txbxContent>
                    <w:p w14:paraId="7AB1EEC7" w14:textId="77777777" w:rsidR="00424F74" w:rsidRDefault="00371977">
                      <w:pPr>
                        <w:spacing w:before="8"/>
                        <w:ind w:right="2590"/>
                        <w:jc w:val="right"/>
                        <w:rPr>
                          <w:rFonts w:ascii="Calisto MT" w:hAnsi="Calisto MT" w:cs="Calisto MT"/>
                          <w:b/>
                          <w:color w:val="FFFFFF"/>
                          <w:spacing w:val="-2"/>
                          <w:w w:val="110"/>
                          <w:sz w:val="32"/>
                          <w:szCs w:val="24"/>
                        </w:rPr>
                      </w:pPr>
                      <w:r>
                        <w:rPr>
                          <w:rFonts w:ascii="Calisto MT" w:hAnsi="Calisto MT" w:cs="Calisto MT"/>
                          <w:b/>
                          <w:color w:val="FFFFFF"/>
                          <w:spacing w:val="-2"/>
                          <w:w w:val="110"/>
                          <w:sz w:val="32"/>
                          <w:szCs w:val="24"/>
                        </w:rPr>
                        <w:t>Annual Methodological Archive Research Review</w:t>
                      </w:r>
                    </w:p>
                    <w:p w14:paraId="17224068" w14:textId="77777777" w:rsidR="00424F74" w:rsidRDefault="00371977">
                      <w:pPr>
                        <w:spacing w:before="8"/>
                        <w:ind w:right="2590" w:firstLineChars="250" w:firstLine="550"/>
                        <w:jc w:val="center"/>
                        <w:rPr>
                          <w:rFonts w:ascii="Calisto MT" w:hAnsi="Calisto MT" w:cs="Calisto MT"/>
                          <w:b/>
                          <w:bCs/>
                          <w:color w:val="FFFFFF" w:themeColor="background1"/>
                          <w:sz w:val="20"/>
                        </w:rPr>
                      </w:pPr>
                      <w:hyperlink r:id="rId2" w:history="1">
                        <w:r>
                          <w:rPr>
                            <w:rStyle w:val="Hyperlink"/>
                            <w:rFonts w:ascii="Calisto MT" w:hAnsi="Calisto MT" w:cs="Calisto MT"/>
                            <w:b/>
                            <w:bCs/>
                            <w:color w:val="FFFFFF" w:themeColor="background1"/>
                            <w:sz w:val="20"/>
                            <w:u w:val="none"/>
                          </w:rPr>
                          <w:t>http://amresearchreview.com/index.php/Journal/about</w:t>
                        </w:r>
                      </w:hyperlink>
                    </w:p>
                    <w:p w14:paraId="180D8FDA" w14:textId="48B5A3D2" w:rsidR="00424F74" w:rsidRDefault="00371977">
                      <w:pPr>
                        <w:spacing w:before="8"/>
                        <w:ind w:left="2589" w:right="2590"/>
                        <w:jc w:val="right"/>
                        <w:rPr>
                          <w:rFonts w:ascii="Calisto MT" w:hAnsi="Calisto MT" w:cs="Calisto MT"/>
                          <w:b/>
                          <w:bCs/>
                          <w:sz w:val="24"/>
                          <w:szCs w:val="24"/>
                        </w:rPr>
                      </w:pPr>
                      <w:r>
                        <w:rPr>
                          <w:rFonts w:ascii="Calisto MT" w:hAnsi="Calisto MT" w:cs="Calisto MT"/>
                          <w:b/>
                          <w:bCs/>
                          <w:color w:val="FFFFFF"/>
                          <w:spacing w:val="-4"/>
                          <w:sz w:val="24"/>
                          <w:szCs w:val="24"/>
                        </w:rPr>
                        <w:t>Volume</w:t>
                      </w:r>
                      <w:r w:rsidR="00945777">
                        <w:rPr>
                          <w:rFonts w:ascii="Calisto MT" w:hAnsi="Calisto MT" w:cs="Calisto MT"/>
                          <w:b/>
                          <w:bCs/>
                          <w:color w:val="FFFFFF"/>
                          <w:spacing w:val="-20"/>
                          <w:sz w:val="24"/>
                          <w:szCs w:val="24"/>
                        </w:rPr>
                        <w:t xml:space="preserve"> 4</w:t>
                      </w:r>
                      <w:r>
                        <w:rPr>
                          <w:rFonts w:ascii="Calisto MT" w:hAnsi="Calisto MT" w:cs="Calisto MT"/>
                          <w:b/>
                          <w:bCs/>
                          <w:color w:val="FFFFFF"/>
                          <w:spacing w:val="-4"/>
                          <w:sz w:val="24"/>
                          <w:szCs w:val="24"/>
                        </w:rPr>
                        <w:t>,</w:t>
                      </w:r>
                      <w:r>
                        <w:rPr>
                          <w:rFonts w:ascii="Calisto MT" w:hAnsi="Calisto MT" w:cs="Calisto MT"/>
                          <w:b/>
                          <w:bCs/>
                          <w:color w:val="FFFFFF"/>
                          <w:spacing w:val="-20"/>
                          <w:sz w:val="24"/>
                          <w:szCs w:val="24"/>
                        </w:rPr>
                        <w:t xml:space="preserve"> </w:t>
                      </w:r>
                      <w:r>
                        <w:rPr>
                          <w:rFonts w:ascii="Calisto MT" w:hAnsi="Calisto MT" w:cs="Calisto MT"/>
                          <w:b/>
                          <w:bCs/>
                          <w:color w:val="FFFFFF"/>
                          <w:spacing w:val="-4"/>
                          <w:sz w:val="24"/>
                          <w:szCs w:val="24"/>
                        </w:rPr>
                        <w:t>Issue</w:t>
                      </w:r>
                      <w:r>
                        <w:rPr>
                          <w:rFonts w:ascii="Calisto MT" w:hAnsi="Calisto MT" w:cs="Calisto MT"/>
                          <w:b/>
                          <w:bCs/>
                          <w:color w:val="FFFFFF"/>
                          <w:spacing w:val="-20"/>
                          <w:sz w:val="24"/>
                          <w:szCs w:val="24"/>
                        </w:rPr>
                        <w:t xml:space="preserve"> </w:t>
                      </w:r>
                      <w:r w:rsidR="001E2EF8">
                        <w:rPr>
                          <w:rFonts w:ascii="Calisto MT" w:hAnsi="Calisto MT" w:cs="Calisto MT"/>
                          <w:b/>
                          <w:bCs/>
                          <w:color w:val="FFFFFF"/>
                          <w:spacing w:val="-20"/>
                          <w:sz w:val="24"/>
                          <w:szCs w:val="24"/>
                        </w:rPr>
                        <w:t>4</w:t>
                      </w:r>
                      <w:r>
                        <w:rPr>
                          <w:rFonts w:ascii="Calisto MT" w:hAnsi="Calisto MT" w:cs="Calisto MT"/>
                          <w:b/>
                          <w:bCs/>
                          <w:color w:val="FFFFFF"/>
                          <w:spacing w:val="-20"/>
                          <w:sz w:val="24"/>
                          <w:szCs w:val="24"/>
                        </w:rPr>
                        <w:t xml:space="preserve"> </w:t>
                      </w:r>
                      <w:r>
                        <w:rPr>
                          <w:rFonts w:ascii="Calisto MT" w:hAnsi="Calisto MT" w:cs="Calisto MT"/>
                          <w:b/>
                          <w:bCs/>
                          <w:color w:val="FFFFFF"/>
                          <w:spacing w:val="-4"/>
                          <w:sz w:val="24"/>
                          <w:szCs w:val="24"/>
                        </w:rPr>
                        <w:t>(202</w:t>
                      </w:r>
                      <w:r w:rsidR="00945777">
                        <w:rPr>
                          <w:rFonts w:ascii="Calisto MT" w:hAnsi="Calisto MT" w:cs="Calisto MT"/>
                          <w:b/>
                          <w:bCs/>
                          <w:color w:val="FFFFFF"/>
                          <w:spacing w:val="-4"/>
                          <w:sz w:val="24"/>
                          <w:szCs w:val="24"/>
                        </w:rPr>
                        <w:t>6</w:t>
                      </w:r>
                      <w:r>
                        <w:rPr>
                          <w:rFonts w:ascii="Calisto MT" w:hAnsi="Calisto MT" w:cs="Calisto MT"/>
                          <w:b/>
                          <w:bCs/>
                          <w:color w:val="FFFFFF"/>
                          <w:spacing w:val="-4"/>
                          <w:sz w:val="24"/>
                          <w:szCs w:val="24"/>
                        </w:rPr>
                        <w:t>)</w:t>
                      </w:r>
                    </w:p>
                  </w:txbxContent>
                </v:textbox>
              </v:shape>
              <w10:wrap type="topAndBottom" anchorx="page"/>
            </v:group>
          </w:pict>
        </mc:Fallback>
      </mc:AlternateContent>
    </w:r>
  </w:p>
  <w:p w14:paraId="25169EC9" w14:textId="77777777" w:rsidR="00424F74" w:rsidRDefault="00371977">
    <w:pPr>
      <w:pStyle w:val="Header"/>
    </w:pPr>
    <w:r>
      <w:rPr>
        <w:noProof/>
      </w:rPr>
      <mc:AlternateContent>
        <mc:Choice Requires="wps">
          <w:drawing>
            <wp:anchor distT="0" distB="0" distL="114300" distR="114300" simplePos="0" relativeHeight="251662336" behindDoc="0" locked="0" layoutInCell="1" allowOverlap="1" wp14:anchorId="5805F448" wp14:editId="777948BE">
              <wp:simplePos x="0" y="0"/>
              <wp:positionH relativeFrom="column">
                <wp:posOffset>2982595</wp:posOffset>
              </wp:positionH>
              <wp:positionV relativeFrom="paragraph">
                <wp:posOffset>75565</wp:posOffset>
              </wp:positionV>
              <wp:extent cx="3420110" cy="251460"/>
              <wp:effectExtent l="0" t="0" r="8890" b="2540"/>
              <wp:wrapNone/>
              <wp:docPr id="991858828" name="docshape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3977640" y="1518920"/>
                        <a:ext cx="3420110" cy="251460"/>
                      </a:xfrm>
                      <a:prstGeom prst="rect">
                        <a:avLst/>
                      </a:prstGeom>
                      <a:solidFill>
                        <a:schemeClr val="accent5">
                          <a:lumMod val="75000"/>
                        </a:schemeClr>
                      </a:solidFill>
                      <a:ln>
                        <a:noFill/>
                      </a:ln>
                    </wps:spPr>
                    <wps:txbx>
                      <w:txbxContent>
                        <w:p w14:paraId="513D7212" w14:textId="77777777" w:rsidR="00424F74" w:rsidRDefault="00371977" w:rsidP="00F777AD">
                          <w:pPr>
                            <w:ind w:firstLineChars="100" w:firstLine="201"/>
                            <w:rPr>
                              <w:rFonts w:ascii="Calisto MT" w:hAnsi="Calisto MT"/>
                              <w:b/>
                              <w:bCs/>
                              <w:color w:val="FFFFFF" w:themeColor="background1"/>
                              <w:sz w:val="20"/>
                            </w:rPr>
                          </w:pPr>
                          <w:r>
                            <w:rPr>
                              <w:rFonts w:ascii="Calisto MT" w:hAnsi="Calisto MT"/>
                              <w:b/>
                              <w:bCs/>
                              <w:color w:val="FFFFFF" w:themeColor="background1"/>
                              <w:sz w:val="20"/>
                            </w:rPr>
                            <w:t>http://amresearchreview.com/index.php/Journal/about</w:t>
                          </w:r>
                        </w:p>
                      </w:txbxContent>
                    </wps:txbx>
                    <wps:bodyPr rot="0" vert="horz" wrap="square" lIns="0" tIns="0" rIns="0" bIns="0" anchor="t" anchorCtr="0" upright="1">
                      <a:noAutofit/>
                    </wps:bodyPr>
                  </wps:wsp>
                </a:graphicData>
              </a:graphic>
            </wp:anchor>
          </w:drawing>
        </mc:Choice>
        <mc:Fallback>
          <w:pict>
            <v:shape w14:anchorId="5805F448" id="docshape8" o:spid="_x0000_s1032" type="#_x0000_t202" style="position:absolute;margin-left:234.85pt;margin-top:5.95pt;width:269.3pt;height:19.8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" fillcolor="#2f5496 [2408]" stroked="f">
              <v:textbox inset="0,0,0,0">
                <w:txbxContent>
                  <w:p w14:paraId="513D7212" w14:textId="77777777" w:rsidR="00424F74" w:rsidRDefault="00371977" w:rsidP="00F777AD">
                    <w:pPr>
                      <w:ind w:firstLineChars="100" w:firstLine="201"/>
                      <w:rPr>
                        <w:rFonts w:ascii="Calisto MT" w:hAnsi="Calisto MT"/>
                        <w:b/>
                        <w:bCs/>
                        <w:color w:val="FFFFFF" w:themeColor="background1"/>
                        <w:sz w:val="20"/>
                      </w:rPr>
                    </w:pPr>
                    <w:r>
                      <w:rPr>
                        <w:rFonts w:ascii="Calisto MT" w:hAnsi="Calisto MT"/>
                        <w:b/>
                        <w:bCs/>
                        <w:color w:val="FFFFFF" w:themeColor="background1"/>
                        <w:sz w:val="20"/>
                      </w:rPr>
                      <w:t>http://amresearchreview.com/index.php/Journal/about</w:t>
                    </w:r>
                  </w:p>
                </w:txbxContent>
              </v:textbox>
            </v:shape>
          </w:pict>
        </mc:Fallback>
      </mc:AlternateContent>
    </w:r>
    <w:r>
      <w:rPr>
        <w:rFonts w:asciiTheme="majorBidi" w:hAnsiTheme="majorBidi" w:cstheme="majorBidi"/>
        <w:noProof/>
        <w:sz w:val="20"/>
      </w:rPr>
      <mc:AlternateContent>
        <mc:Choice Requires="wps">
          <w:drawing>
            <wp:anchor distT="0" distB="0" distL="114300" distR="114300" simplePos="0" relativeHeight="251661312" behindDoc="0" locked="0" layoutInCell="1" allowOverlap="1" wp14:anchorId="02E89205" wp14:editId="2F3679FF">
              <wp:simplePos x="0" y="0"/>
              <wp:positionH relativeFrom="column">
                <wp:posOffset>-648335</wp:posOffset>
              </wp:positionH>
              <wp:positionV relativeFrom="paragraph">
                <wp:posOffset>46990</wp:posOffset>
              </wp:positionV>
              <wp:extent cx="2813050" cy="603250"/>
              <wp:effectExtent l="0" t="0" r="0" b="0"/>
              <wp:wrapNone/>
              <wp:docPr id="22" name="Rectangles 22"/>
              <wp:cNvGraphicFramePr/>
              <a:graphic xmlns:a="http://schemas.openxmlformats.org/drawingml/2006/main">
                <a:graphicData uri="http://schemas.microsoft.com/office/word/2010/wordprocessingShape">
                  <wps:wsp>
                    <wps:cNvSpPr/>
                    <wps:spPr>
                      <a:xfrm>
                        <a:off x="0" y="0"/>
                        <a:ext cx="2813050" cy="603250"/>
                      </a:xfrm>
                      <a:prstGeom prst="rect">
                        <a:avLst/>
                      </a:prstGeom>
                      <a:noFill/>
                      <a:ln>
                        <a:noFill/>
                      </a:ln>
                    </wps:spPr>
                    <wps:style>
                      <a:lnRef idx="2">
                        <a:schemeClr val="accent1">
                          <a:lumMod val="75000"/>
                        </a:schemeClr>
                      </a:lnRef>
                      <a:fillRef idx="1">
                        <a:schemeClr val="accent1"/>
                      </a:fillRef>
                      <a:effectRef idx="0">
                        <a:srgbClr val="FFFFFF"/>
                      </a:effectRef>
                      <a:fontRef idx="minor">
                        <a:schemeClr val="lt1"/>
                      </a:fontRef>
                    </wps:style>
                    <wps:txbx>
                      <w:txbxContent>
                        <w:p w14:paraId="7624F40D" w14:textId="77777777" w:rsidR="00424F74" w:rsidRDefault="00371977">
                          <w:pPr>
                            <w:widowControl/>
                            <w:shd w:val="clear" w:color="auto" w:fill="FFFFFF"/>
                            <w:rPr>
                              <w:rFonts w:ascii="Segoe UI" w:eastAsia="Segoe UI" w:hAnsi="Segoe UI" w:cs="Segoe UI"/>
                              <w:b/>
                              <w:bCs/>
                              <w:color w:val="0D0D0D" w:themeColor="text1" w:themeTint="F2"/>
                              <w:sz w:val="15"/>
                              <w:szCs w:val="15"/>
                            </w:rPr>
                          </w:pPr>
                          <w:r>
                            <w:rPr>
                              <w:rFonts w:ascii="Segoe UI" w:eastAsia="Segoe UI" w:hAnsi="Segoe UI" w:cs="Segoe UI"/>
                              <w:b/>
                              <w:bCs/>
                              <w:color w:val="0D0D0D" w:themeColor="text1" w:themeTint="F2"/>
                              <w:sz w:val="15"/>
                              <w:szCs w:val="15"/>
                              <w:shd w:val="clear" w:color="auto" w:fill="FFFFFF"/>
                              <w:lang w:eastAsia="zh-CN"/>
                            </w:rPr>
                            <w:t>Online ISSN                            Print ISSN</w:t>
                          </w:r>
                        </w:p>
                        <w:p w14:paraId="02B37EE1" w14:textId="77777777" w:rsidR="00424F74" w:rsidRDefault="00890730">
                          <w:pPr>
                            <w:widowControl/>
                            <w:shd w:val="clear" w:color="auto" w:fill="FFFFFF"/>
                            <w:rPr>
                              <w:rFonts w:ascii="Segoe UI" w:eastAsia="Segoe UI" w:hAnsi="Segoe UI" w:cs="Segoe UI"/>
                              <w:color w:val="0D0D0D" w:themeColor="text1" w:themeTint="F2"/>
                              <w:sz w:val="14"/>
                              <w:szCs w:val="14"/>
                            </w:rPr>
                          </w:pPr>
                          <w:r>
                            <w:rPr>
                              <w:rFonts w:ascii="Segoe UI" w:eastAsia="Segoe UI" w:hAnsi="Segoe UI" w:cs="Segoe UI"/>
                              <w:noProof/>
                              <w:color w:val="0D0D0D" w:themeColor="text1" w:themeTint="F2"/>
                              <w:sz w:val="14"/>
                              <w:szCs w:val="14"/>
                              <w:shd w:val="clear" w:color="auto" w:fill="FFFFFF"/>
                            </w:rPr>
                            <w:t>.</w:t>
                          </w:r>
                          <w:r>
                            <w:rPr>
                              <w:rFonts w:ascii="Segoe UI" w:eastAsia="Segoe UI" w:hAnsi="Segoe UI" w:cs="Segoe UI"/>
                              <w:noProof/>
                              <w:color w:val="0D0D0D" w:themeColor="text1" w:themeTint="F2"/>
                              <w:sz w:val="14"/>
                              <w:szCs w:val="14"/>
                              <w:shd w:val="clear" w:color="auto" w:fill="FFFFFF"/>
                            </w:rPr>
                            <w:drawing>
                              <wp:inline distT="0" distB="0" distL="114300" distR="114300" wp14:anchorId="37A6984B" wp14:editId="0D2D3FF4">
                                <wp:extent cx="914400" cy="228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3"/>
                                        <a:stretch>
                                          <a:fillRect/>
                                        </a:stretch>
                                      </pic:blipFill>
                                      <pic:spPr>
                                        <a:xfrm>
                                          <a:off x="0" y="0"/>
                                          <a:ext cx="914400" cy="228600"/>
                                        </a:xfrm>
                                        <a:prstGeom prst="rect">
                                          <a:avLst/>
                                        </a:prstGeom>
                                        <a:noFill/>
                                        <a:ln>
                                          <a:noFill/>
                                        </a:ln>
                                      </pic:spPr>
                                    </pic:pic>
                                  </a:graphicData>
                                </a:graphic>
                              </wp:inline>
                            </w:drawing>
                          </w:r>
                          <w:r w:rsidR="00695040">
                            <w:rPr>
                              <w:rFonts w:ascii="Segoe UI" w:eastAsia="Segoe UI" w:hAnsi="Segoe UI" w:cs="Segoe UI"/>
                              <w:noProof/>
                              <w:color w:val="0D0D0D" w:themeColor="text1" w:themeTint="F2"/>
                              <w:sz w:val="14"/>
                              <w:szCs w:val="14"/>
                              <w:shd w:val="clear" w:color="auto" w:fill="FFFFFF"/>
                            </w:rPr>
                            <w:t>.</w:t>
                          </w:r>
                          <w:r w:rsidR="00371977">
                            <w:rPr>
                              <w:rFonts w:ascii="Segoe UI" w:eastAsia="Segoe UI" w:hAnsi="Segoe UI" w:cs="Segoe UI"/>
                              <w:color w:val="0D0D0D" w:themeColor="text1" w:themeTint="F2"/>
                              <w:sz w:val="14"/>
                              <w:szCs w:val="14"/>
                              <w:shd w:val="clear" w:color="auto" w:fill="FFFFFF"/>
                              <w:lang w:eastAsia="zh-CN"/>
                            </w:rPr>
                            <w:t xml:space="preserve">     </w:t>
                          </w:r>
                          <w:r w:rsidR="00371977">
                            <w:rPr>
                              <w:rFonts w:ascii="Segoe UI" w:eastAsia="Segoe UI" w:hAnsi="Segoe UI" w:cs="Segoe UI"/>
                              <w:noProof/>
                              <w:color w:val="0D0D0D" w:themeColor="text1" w:themeTint="F2"/>
                              <w:sz w:val="14"/>
                              <w:szCs w:val="14"/>
                              <w:shd w:val="clear" w:color="auto" w:fill="FFFFFF"/>
                            </w:rPr>
                            <w:drawing>
                              <wp:inline distT="0" distB="0" distL="114300" distR="114300" wp14:anchorId="1BFB2ACA" wp14:editId="0DA5553D">
                                <wp:extent cx="914400" cy="228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4"/>
                                        <a:stretch>
                                          <a:fillRect/>
                                        </a:stretch>
                                      </pic:blipFill>
                                      <pic:spPr>
                                        <a:xfrm>
                                          <a:off x="0" y="0"/>
                                          <a:ext cx="914400" cy="228600"/>
                                        </a:xfrm>
                                        <a:prstGeom prst="rect">
                                          <a:avLst/>
                                        </a:prstGeom>
                                        <a:noFill/>
                                        <a:ln>
                                          <a:noFill/>
                                        </a:ln>
                                      </pic:spPr>
                                    </pic:pic>
                                  </a:graphicData>
                                </a:graphic>
                              </wp:inline>
                            </w:drawing>
                          </w:r>
                        </w:p>
                        <w:p w14:paraId="3B171D6F" w14:textId="77777777" w:rsidR="00424F74" w:rsidRDefault="00424F74">
                          <w:pPr>
                            <w:rPr>
                              <w:color w:val="0D0D0D" w:themeColor="text1" w:themeTint="F2"/>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2E89205" id="Rectangles 22" o:spid="_x0000_s1033" style="position:absolute;margin-left:-51.05pt;margin-top:3.7pt;width:221.5pt;height:4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" filled="f" stroked="f" strokeweight="1pt">
              <v:textbox>
                <w:txbxContent>
                  <w:p w14:paraId="7624F40D" w14:textId="77777777" w:rsidR="00424F74" w:rsidRDefault="00371977">
                    <w:pPr>
                      <w:widowControl/>
                      <w:shd w:val="clear" w:color="auto" w:fill="FFFFFF"/>
                      <w:rPr>
                        <w:rFonts w:ascii="Segoe UI" w:eastAsia="Segoe UI" w:hAnsi="Segoe UI" w:cs="Segoe UI"/>
                        <w:b/>
                        <w:bCs/>
                        <w:color w:val="0D0D0D" w:themeColor="text1" w:themeTint="F2"/>
                        <w:sz w:val="15"/>
                        <w:szCs w:val="15"/>
                      </w:rPr>
                    </w:pPr>
                    <w:r>
                      <w:rPr>
                        <w:rFonts w:ascii="Segoe UI" w:eastAsia="Segoe UI" w:hAnsi="Segoe UI" w:cs="Segoe UI"/>
                        <w:b/>
                        <w:bCs/>
                        <w:color w:val="0D0D0D" w:themeColor="text1" w:themeTint="F2"/>
                        <w:sz w:val="15"/>
                        <w:szCs w:val="15"/>
                        <w:shd w:val="clear" w:color="auto" w:fill="FFFFFF"/>
                        <w:lang w:eastAsia="zh-CN"/>
                      </w:rPr>
                      <w:t>Online ISSN                            Print ISSN</w:t>
                    </w:r>
                  </w:p>
                  <w:p w14:paraId="02B37EE1" w14:textId="77777777" w:rsidR="00424F74" w:rsidRDefault="00890730">
                    <w:pPr>
                      <w:widowControl/>
                      <w:shd w:val="clear" w:color="auto" w:fill="FFFFFF"/>
                      <w:rPr>
                        <w:rFonts w:ascii="Segoe UI" w:eastAsia="Segoe UI" w:hAnsi="Segoe UI" w:cs="Segoe UI"/>
                        <w:color w:val="0D0D0D" w:themeColor="text1" w:themeTint="F2"/>
                        <w:sz w:val="14"/>
                        <w:szCs w:val="14"/>
                      </w:rPr>
                    </w:pPr>
                    <w:r>
                      <w:rPr>
                        <w:rFonts w:ascii="Segoe UI" w:eastAsia="Segoe UI" w:hAnsi="Segoe UI" w:cs="Segoe UI"/>
                        <w:noProof/>
                        <w:color w:val="0D0D0D" w:themeColor="text1" w:themeTint="F2"/>
                        <w:sz w:val="14"/>
                        <w:szCs w:val="14"/>
                        <w:shd w:val="clear" w:color="auto" w:fill="FFFFFF"/>
                      </w:rPr>
                      <w:t>.</w:t>
                    </w:r>
                    <w:r>
                      <w:rPr>
                        <w:rFonts w:ascii="Segoe UI" w:eastAsia="Segoe UI" w:hAnsi="Segoe UI" w:cs="Segoe UI"/>
                        <w:noProof/>
                        <w:color w:val="0D0D0D" w:themeColor="text1" w:themeTint="F2"/>
                        <w:sz w:val="14"/>
                        <w:szCs w:val="14"/>
                        <w:shd w:val="clear" w:color="auto" w:fill="FFFFFF"/>
                      </w:rPr>
                      <w:drawing>
                        <wp:inline distT="0" distB="0" distL="114300" distR="114300" wp14:anchorId="37A6984B" wp14:editId="0D2D3FF4">
                          <wp:extent cx="914400" cy="228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3"/>
                                  <a:stretch>
                                    <a:fillRect/>
                                  </a:stretch>
                                </pic:blipFill>
                                <pic:spPr>
                                  <a:xfrm>
                                    <a:off x="0" y="0"/>
                                    <a:ext cx="914400" cy="228600"/>
                                  </a:xfrm>
                                  <a:prstGeom prst="rect">
                                    <a:avLst/>
                                  </a:prstGeom>
                                  <a:noFill/>
                                  <a:ln>
                                    <a:noFill/>
                                  </a:ln>
                                </pic:spPr>
                              </pic:pic>
                            </a:graphicData>
                          </a:graphic>
                        </wp:inline>
                      </w:drawing>
                    </w:r>
                    <w:r w:rsidR="00695040">
                      <w:rPr>
                        <w:rFonts w:ascii="Segoe UI" w:eastAsia="Segoe UI" w:hAnsi="Segoe UI" w:cs="Segoe UI"/>
                        <w:noProof/>
                        <w:color w:val="0D0D0D" w:themeColor="text1" w:themeTint="F2"/>
                        <w:sz w:val="14"/>
                        <w:szCs w:val="14"/>
                        <w:shd w:val="clear" w:color="auto" w:fill="FFFFFF"/>
                      </w:rPr>
                      <w:t>.</w:t>
                    </w:r>
                    <w:r w:rsidR="00371977">
                      <w:rPr>
                        <w:rFonts w:ascii="Segoe UI" w:eastAsia="Segoe UI" w:hAnsi="Segoe UI" w:cs="Segoe UI"/>
                        <w:color w:val="0D0D0D" w:themeColor="text1" w:themeTint="F2"/>
                        <w:sz w:val="14"/>
                        <w:szCs w:val="14"/>
                        <w:shd w:val="clear" w:color="auto" w:fill="FFFFFF"/>
                        <w:lang w:eastAsia="zh-CN"/>
                      </w:rPr>
                      <w:t xml:space="preserve">     </w:t>
                    </w:r>
                    <w:r w:rsidR="00371977">
                      <w:rPr>
                        <w:rFonts w:ascii="Segoe UI" w:eastAsia="Segoe UI" w:hAnsi="Segoe UI" w:cs="Segoe UI"/>
                        <w:noProof/>
                        <w:color w:val="0D0D0D" w:themeColor="text1" w:themeTint="F2"/>
                        <w:sz w:val="14"/>
                        <w:szCs w:val="14"/>
                        <w:shd w:val="clear" w:color="auto" w:fill="FFFFFF"/>
                      </w:rPr>
                      <w:drawing>
                        <wp:inline distT="0" distB="0" distL="114300" distR="114300" wp14:anchorId="1BFB2ACA" wp14:editId="0DA5553D">
                          <wp:extent cx="914400" cy="228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4"/>
                                  <a:stretch>
                                    <a:fillRect/>
                                  </a:stretch>
                                </pic:blipFill>
                                <pic:spPr>
                                  <a:xfrm>
                                    <a:off x="0" y="0"/>
                                    <a:ext cx="914400" cy="228600"/>
                                  </a:xfrm>
                                  <a:prstGeom prst="rect">
                                    <a:avLst/>
                                  </a:prstGeom>
                                  <a:noFill/>
                                  <a:ln>
                                    <a:noFill/>
                                  </a:ln>
                                </pic:spPr>
                              </pic:pic>
                            </a:graphicData>
                          </a:graphic>
                        </wp:inline>
                      </w:drawing>
                    </w:r>
                  </w:p>
                  <w:p w14:paraId="3B171D6F" w14:textId="77777777" w:rsidR="00424F74" w:rsidRDefault="00424F74">
                    <w:pPr>
                      <w:rPr>
                        <w:color w:val="0D0D0D" w:themeColor="text1" w:themeTint="F2"/>
                      </w:rPr>
                    </w:pPr>
                  </w:p>
                </w:txbxContent>
              </v:textbox>
            </v:rect>
          </w:pict>
        </mc:Fallback>
      </mc:AlternateContent>
    </w:r>
  </w:p>
  <w:p w14:paraId="6FD640A9" w14:textId="77777777" w:rsidR="00424F74" w:rsidRDefault="00424F74">
    <w:pPr>
      <w:pStyle w:val="Header"/>
    </w:pPr>
  </w:p>
  <w:p w14:paraId="097B83B7" w14:textId="77777777" w:rsidR="00424F74" w:rsidRDefault="00424F74">
    <w:pPr>
      <w:pStyle w:val="Header"/>
    </w:pPr>
  </w:p>
  <w:p w14:paraId="6278C1BE" w14:textId="77777777" w:rsidR="00424F74" w:rsidRDefault="00424F74">
    <w:pPr>
      <w:pStyle w:val="Header"/>
    </w:pPr>
    <w:bookmarkStart w:id="2" w:name="_Hlk196291839"/>
    <w:bookmarkEnd w:id="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67113"/>
    <w:multiLevelType w:val="hybridMultilevel"/>
    <w:tmpl w:val="72DCC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403F51"/>
    <w:multiLevelType w:val="multilevel"/>
    <w:tmpl w:val="D968F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C35211"/>
    <w:multiLevelType w:val="hybridMultilevel"/>
    <w:tmpl w:val="D71ABF1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B0076CA"/>
    <w:multiLevelType w:val="hybridMultilevel"/>
    <w:tmpl w:val="9C6ED88E"/>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 w15:restartNumberingAfterBreak="0">
    <w:nsid w:val="246745D7"/>
    <w:multiLevelType w:val="multilevel"/>
    <w:tmpl w:val="32D6B7A2"/>
    <w:lvl w:ilvl="0">
      <w:start w:val="4"/>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E4B3779"/>
    <w:multiLevelType w:val="hybridMultilevel"/>
    <w:tmpl w:val="D1F2F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0B81926"/>
    <w:multiLevelType w:val="hybridMultilevel"/>
    <w:tmpl w:val="D748961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64F1243"/>
    <w:multiLevelType w:val="hybridMultilevel"/>
    <w:tmpl w:val="1054EA7A"/>
    <w:lvl w:ilvl="0" w:tplc="3FA887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B00000A"/>
    <w:multiLevelType w:val="hybridMultilevel"/>
    <w:tmpl w:val="3676D4E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52CA544A"/>
    <w:multiLevelType w:val="singleLevel"/>
    <w:tmpl w:val="AED6D67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0" w15:restartNumberingAfterBreak="0">
    <w:nsid w:val="6A2F4D49"/>
    <w:multiLevelType w:val="hybridMultilevel"/>
    <w:tmpl w:val="3FA06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DAA6ADB"/>
    <w:multiLevelType w:val="multilevel"/>
    <w:tmpl w:val="6DAA6ADB"/>
    <w:lvl w:ilvl="0">
      <w:start w:val="1"/>
      <w:numFmt w:val="bullet"/>
      <w:lvlText w:val=""/>
      <w:lvlJc w:val="left"/>
      <w:pPr>
        <w:tabs>
          <w:tab w:val="left" w:pos="720"/>
        </w:tabs>
        <w:ind w:left="36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 w15:restartNumberingAfterBreak="0">
    <w:nsid w:val="70EB2AFF"/>
    <w:multiLevelType w:val="hybridMultilevel"/>
    <w:tmpl w:val="70BC3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1570688">
    <w:abstractNumId w:val="11"/>
  </w:num>
  <w:num w:numId="2" w16cid:durableId="1360624890">
    <w:abstractNumId w:val="5"/>
  </w:num>
  <w:num w:numId="3" w16cid:durableId="1289504397">
    <w:abstractNumId w:val="3"/>
  </w:num>
  <w:num w:numId="4" w16cid:durableId="1842888745">
    <w:abstractNumId w:val="4"/>
  </w:num>
  <w:num w:numId="5" w16cid:durableId="973369851">
    <w:abstractNumId w:val="8"/>
  </w:num>
  <w:num w:numId="6" w16cid:durableId="1961573307">
    <w:abstractNumId w:val="0"/>
  </w:num>
  <w:num w:numId="7" w16cid:durableId="317734963">
    <w:abstractNumId w:val="2"/>
  </w:num>
  <w:num w:numId="8" w16cid:durableId="490029054">
    <w:abstractNumId w:val="1"/>
  </w:num>
  <w:num w:numId="9" w16cid:durableId="427888805">
    <w:abstractNumId w:val="9"/>
  </w:num>
  <w:num w:numId="10" w16cid:durableId="505092636">
    <w:abstractNumId w:val="6"/>
  </w:num>
  <w:num w:numId="11" w16cid:durableId="1042051863">
    <w:abstractNumId w:val="10"/>
  </w:num>
  <w:num w:numId="12" w16cid:durableId="1049648495">
    <w:abstractNumId w:val="7"/>
  </w:num>
  <w:num w:numId="13" w16cid:durableId="173605116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drawingGridVerticalSpacing w:val="156"/>
  <w:displayHorizontalDrawingGridEvery w:val="0"/>
  <w:displayVerticalDrawingGridEvery w:val="2"/>
  <w:characterSpacingControl w:val="doNotCompress"/>
  <w:hdrShapeDefaults>
    <o:shapedefaults v:ext="edit" spidmax="2050" fillcolor="white">
      <v:fill color="white"/>
    </o:shapedefaults>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61E073C4"/>
    <w:rsid w:val="000D4E6E"/>
    <w:rsid w:val="00114D13"/>
    <w:rsid w:val="00154826"/>
    <w:rsid w:val="001A3B1B"/>
    <w:rsid w:val="001B1E90"/>
    <w:rsid w:val="001E2EF8"/>
    <w:rsid w:val="002766D3"/>
    <w:rsid w:val="00371977"/>
    <w:rsid w:val="00424F74"/>
    <w:rsid w:val="004327B1"/>
    <w:rsid w:val="00456F02"/>
    <w:rsid w:val="0047692A"/>
    <w:rsid w:val="00695040"/>
    <w:rsid w:val="006E409C"/>
    <w:rsid w:val="0080697A"/>
    <w:rsid w:val="0081798C"/>
    <w:rsid w:val="00834D44"/>
    <w:rsid w:val="0087675A"/>
    <w:rsid w:val="00890730"/>
    <w:rsid w:val="00945777"/>
    <w:rsid w:val="00991C07"/>
    <w:rsid w:val="00A97B37"/>
    <w:rsid w:val="00AC2821"/>
    <w:rsid w:val="00B3184F"/>
    <w:rsid w:val="00B37654"/>
    <w:rsid w:val="00C065D5"/>
    <w:rsid w:val="00C15B01"/>
    <w:rsid w:val="00C552AE"/>
    <w:rsid w:val="00CB3276"/>
    <w:rsid w:val="00ED4FC8"/>
    <w:rsid w:val="00EE4FFD"/>
    <w:rsid w:val="00F415A6"/>
    <w:rsid w:val="00F777AD"/>
    <w:rsid w:val="052A5618"/>
    <w:rsid w:val="0AD169B7"/>
    <w:rsid w:val="10BD198F"/>
    <w:rsid w:val="33AF7491"/>
    <w:rsid w:val="3A1302EC"/>
    <w:rsid w:val="3C59765E"/>
    <w:rsid w:val="3CB63FA5"/>
    <w:rsid w:val="534D26AA"/>
    <w:rsid w:val="53D03AFA"/>
    <w:rsid w:val="5DB8462A"/>
    <w:rsid w:val="605267F8"/>
    <w:rsid w:val="61E073C4"/>
    <w:rsid w:val="64636E9B"/>
    <w:rsid w:val="6CBF02EE"/>
    <w:rsid w:val="7B0B73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78C4C12C"/>
  <w15:docId w15:val="{09B09F00-2B87-4817-B1FA-F45FD1F68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uiPriority="1" w:qFormat="1"/>
    <w:lsdException w:name="heading 2" w:semiHidden="1" w:uiPriority="9" w:unhideWhenUsed="1" w:qFormat="1"/>
    <w:lsdException w:name="heading 3" w:uiPriority="9" w:qFormat="1"/>
    <w:lsdException w:name="heading 4"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qFormat="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pPr>
    <w:rPr>
      <w:rFonts w:ascii="Tahoma" w:eastAsia="Tahoma" w:hAnsi="Tahoma" w:cs="Tahoma"/>
      <w:sz w:val="22"/>
      <w:szCs w:val="22"/>
    </w:rPr>
  </w:style>
  <w:style w:type="paragraph" w:styleId="Heading1">
    <w:name w:val="heading 1"/>
    <w:basedOn w:val="Normal"/>
    <w:uiPriority w:val="1"/>
    <w:qFormat/>
    <w:pPr>
      <w:ind w:left="360"/>
      <w:outlineLvl w:val="0"/>
    </w:pPr>
    <w:rPr>
      <w:rFonts w:ascii="Times New Roman" w:eastAsia="Times New Roman" w:hAnsi="Times New Roman" w:cs="Times New Roman"/>
      <w:b/>
      <w:bCs/>
      <w:sz w:val="24"/>
      <w:szCs w:val="24"/>
    </w:rPr>
  </w:style>
  <w:style w:type="paragraph" w:styleId="Heading2">
    <w:name w:val="heading 2"/>
    <w:basedOn w:val="Normal"/>
    <w:next w:val="Normal"/>
    <w:uiPriority w:val="9"/>
    <w:semiHidden/>
    <w:unhideWhenUsed/>
    <w:qFormat/>
    <w:pPr>
      <w:spacing w:beforeAutospacing="1" w:afterAutospacing="1"/>
      <w:outlineLvl w:val="1"/>
    </w:pPr>
    <w:rPr>
      <w:rFonts w:ascii="SimSun" w:eastAsia="SimSun" w:hAnsi="SimSun" w:cs="Times New Roman" w:hint="eastAsia"/>
      <w:b/>
      <w:bCs/>
      <w:sz w:val="36"/>
      <w:szCs w:val="36"/>
      <w:lang w:eastAsia="zh-CN"/>
    </w:rPr>
  </w:style>
  <w:style w:type="paragraph" w:styleId="Heading3">
    <w:name w:val="heading 3"/>
    <w:basedOn w:val="Normal"/>
    <w:next w:val="Normal"/>
    <w:uiPriority w:val="9"/>
    <w:qFormat/>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next w:val="Normal"/>
    <w:uiPriority w:val="9"/>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47692A"/>
    <w:pPr>
      <w:keepNext/>
      <w:keepLines/>
      <w:spacing w:before="200"/>
      <w:outlineLvl w:val="4"/>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Times New Roman" w:eastAsia="Times New Roman" w:hAnsi="Times New Roman" w:cs="Times New Roman"/>
      <w:sz w:val="24"/>
      <w:szCs w:val="24"/>
    </w:rPr>
  </w:style>
  <w:style w:type="character" w:styleId="Emphasis">
    <w:name w:val="Emphasis"/>
    <w:basedOn w:val="DefaultParagraphFont"/>
    <w:uiPriority w:val="20"/>
    <w:qFormat/>
    <w:rPr>
      <w:i/>
      <w:iCs/>
    </w:rPr>
  </w:style>
  <w:style w:type="paragraph" w:styleId="Footer">
    <w:name w:val="footer"/>
    <w:basedOn w:val="Normal"/>
    <w:qFormat/>
    <w:pPr>
      <w:tabs>
        <w:tab w:val="center" w:pos="4153"/>
        <w:tab w:val="right" w:pos="8306"/>
      </w:tabs>
      <w:snapToGrid w:val="0"/>
    </w:pPr>
    <w:rPr>
      <w:sz w:val="18"/>
      <w:szCs w:val="18"/>
    </w:rPr>
  </w:style>
  <w:style w:type="paragraph" w:styleId="Header">
    <w:name w:val="header"/>
    <w:basedOn w:val="Normal"/>
    <w:qFormat/>
    <w:pPr>
      <w:tabs>
        <w:tab w:val="center" w:pos="4153"/>
        <w:tab w:val="right" w:pos="8306"/>
      </w:tabs>
      <w:snapToGrid w:val="0"/>
    </w:pPr>
    <w:rPr>
      <w:sz w:val="18"/>
      <w:szCs w:val="18"/>
    </w:rPr>
  </w:style>
  <w:style w:type="character" w:styleId="Hyperlink">
    <w:name w:val="Hyperlink"/>
    <w:basedOn w:val="DefaultParagraphFont"/>
    <w:uiPriority w:val="99"/>
    <w:unhideWhenUsed/>
    <w:qFormat/>
    <w:rPr>
      <w:color w:val="0563C1" w:themeColor="hyperlink"/>
      <w:u w:val="single"/>
    </w:rPr>
  </w:style>
  <w:style w:type="paragraph" w:styleId="NormalWeb">
    <w:name w:val="Normal (Web)"/>
    <w:basedOn w:val="Normal"/>
    <w:uiPriority w:val="99"/>
    <w:unhideWhenUsed/>
    <w:qFormat/>
    <w:pPr>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character" w:customStyle="1" w:styleId="katex-mathml">
    <w:name w:val="katex-mathml"/>
    <w:basedOn w:val="DefaultParagraphFont"/>
    <w:qFormat/>
  </w:style>
  <w:style w:type="character" w:customStyle="1" w:styleId="mopen">
    <w:name w:val="mopen"/>
    <w:basedOn w:val="DefaultParagraphFont"/>
    <w:qFormat/>
  </w:style>
  <w:style w:type="character" w:customStyle="1" w:styleId="mord">
    <w:name w:val="mord"/>
    <w:basedOn w:val="DefaultParagraphFont"/>
    <w:qFormat/>
  </w:style>
  <w:style w:type="character" w:customStyle="1" w:styleId="mbin">
    <w:name w:val="mbin"/>
    <w:basedOn w:val="DefaultParagraphFont"/>
    <w:qFormat/>
  </w:style>
  <w:style w:type="character" w:customStyle="1" w:styleId="mclose">
    <w:name w:val="mclose"/>
    <w:basedOn w:val="DefaultParagraphFont"/>
    <w:qFormat/>
  </w:style>
  <w:style w:type="character" w:customStyle="1" w:styleId="tvarevalue">
    <w:name w:val="tvar_evalue"/>
    <w:basedOn w:val="DefaultParagraphFont"/>
    <w:qFormat/>
  </w:style>
  <w:style w:type="paragraph" w:customStyle="1" w:styleId="EndNoteBibliography">
    <w:name w:val="EndNote Bibliography"/>
    <w:basedOn w:val="Normal"/>
    <w:qFormat/>
    <w:pPr>
      <w:jc w:val="both"/>
    </w:pPr>
    <w:rPr>
      <w:rFonts w:ascii="Calibri" w:hAnsi="Calibri" w:cs="Calibri"/>
    </w:rPr>
  </w:style>
  <w:style w:type="table" w:customStyle="1" w:styleId="TableGridLight1">
    <w:name w:val="Table Grid Light1"/>
    <w:basedOn w:val="TableNormal"/>
    <w:uiPriority w:val="40"/>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31">
    <w:name w:val="Plain Table 31"/>
    <w:basedOn w:val="TableNormal"/>
    <w:uiPriority w:val="43"/>
    <w:qFormat/>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GridTable5Dark-Accent11">
    <w:name w:val="Grid Table 5 Dark - Accent 11"/>
    <w:basedOn w:val="TableNormal"/>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5Dark-Accent51">
    <w:name w:val="Grid Table 5 Dark - Accent 51"/>
    <w:basedOn w:val="TableNormal"/>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paragraph" w:customStyle="1" w:styleId="TableParagraph">
    <w:name w:val="Table Paragraph"/>
    <w:basedOn w:val="Normal"/>
    <w:uiPriority w:val="1"/>
    <w:qFormat/>
    <w:rPr>
      <w:rFonts w:ascii="Times New Roman" w:eastAsia="Times New Roman" w:hAnsi="Times New Roman" w:cs="Times New Roman"/>
    </w:rPr>
  </w:style>
  <w:style w:type="paragraph" w:customStyle="1" w:styleId="Bibliography1">
    <w:name w:val="Bibliography1"/>
    <w:basedOn w:val="Normal"/>
    <w:next w:val="Normal"/>
    <w:uiPriority w:val="37"/>
    <w:unhideWhenUsed/>
    <w:pPr>
      <w:tabs>
        <w:tab w:val="left" w:pos="504"/>
      </w:tabs>
      <w:ind w:left="504" w:hanging="504"/>
    </w:pPr>
  </w:style>
  <w:style w:type="paragraph" w:styleId="BalloonText">
    <w:name w:val="Balloon Text"/>
    <w:basedOn w:val="Normal"/>
    <w:link w:val="BalloonTextChar"/>
    <w:rsid w:val="00F777AD"/>
    <w:rPr>
      <w:sz w:val="16"/>
      <w:szCs w:val="16"/>
    </w:rPr>
  </w:style>
  <w:style w:type="character" w:customStyle="1" w:styleId="BalloonTextChar">
    <w:name w:val="Balloon Text Char"/>
    <w:basedOn w:val="DefaultParagraphFont"/>
    <w:link w:val="BalloonText"/>
    <w:rsid w:val="00F777AD"/>
    <w:rPr>
      <w:rFonts w:ascii="Tahoma" w:eastAsia="Tahoma" w:hAnsi="Tahoma" w:cs="Tahoma"/>
      <w:sz w:val="16"/>
      <w:szCs w:val="16"/>
    </w:rPr>
  </w:style>
  <w:style w:type="paragraph" w:customStyle="1" w:styleId="papertitle">
    <w:name w:val="paper title"/>
    <w:rsid w:val="0047692A"/>
    <w:pPr>
      <w:spacing w:after="120"/>
      <w:jc w:val="center"/>
    </w:pPr>
    <w:rPr>
      <w:rFonts w:ascii="Times New Roman" w:eastAsia="MS Mincho" w:hAnsi="Times New Roman" w:cs="Times New Roman"/>
      <w:noProof/>
      <w:sz w:val="48"/>
      <w:szCs w:val="48"/>
    </w:rPr>
  </w:style>
  <w:style w:type="paragraph" w:customStyle="1" w:styleId="Author">
    <w:name w:val="Author"/>
    <w:rsid w:val="0047692A"/>
    <w:pPr>
      <w:spacing w:before="360" w:after="40"/>
      <w:jc w:val="center"/>
    </w:pPr>
    <w:rPr>
      <w:rFonts w:ascii="Times New Roman" w:eastAsia="SimSun" w:hAnsi="Times New Roman" w:cs="Times New Roman"/>
      <w:noProof/>
      <w:sz w:val="22"/>
      <w:szCs w:val="22"/>
    </w:rPr>
  </w:style>
  <w:style w:type="character" w:customStyle="1" w:styleId="Heading5Char">
    <w:name w:val="Heading 5 Char"/>
    <w:basedOn w:val="DefaultParagraphFont"/>
    <w:link w:val="Heading5"/>
    <w:semiHidden/>
    <w:rsid w:val="0047692A"/>
    <w:rPr>
      <w:rFonts w:asciiTheme="majorHAnsi" w:eastAsiaTheme="majorEastAsia" w:hAnsiTheme="majorHAnsi" w:cstheme="majorBidi"/>
      <w:color w:val="1F4D78" w:themeColor="accent1" w:themeShade="7F"/>
      <w:sz w:val="22"/>
      <w:szCs w:val="22"/>
    </w:rPr>
  </w:style>
  <w:style w:type="paragraph" w:customStyle="1" w:styleId="Abstract">
    <w:name w:val="Abstract"/>
    <w:rsid w:val="0047692A"/>
    <w:pPr>
      <w:spacing w:after="200"/>
      <w:ind w:firstLine="272"/>
      <w:jc w:val="both"/>
    </w:pPr>
    <w:rPr>
      <w:rFonts w:ascii="Times New Roman" w:eastAsia="SimSun" w:hAnsi="Times New Roman" w:cs="Times New Roman"/>
      <w:b/>
      <w:bCs/>
      <w:sz w:val="18"/>
      <w:szCs w:val="18"/>
    </w:rPr>
  </w:style>
  <w:style w:type="paragraph" w:customStyle="1" w:styleId="references">
    <w:name w:val="references"/>
    <w:rsid w:val="0047692A"/>
    <w:pPr>
      <w:numPr>
        <w:numId w:val="9"/>
      </w:numPr>
      <w:spacing w:after="50" w:line="180" w:lineRule="exact"/>
      <w:jc w:val="both"/>
    </w:pPr>
    <w:rPr>
      <w:rFonts w:ascii="Times New Roman" w:eastAsia="MS Mincho" w:hAnsi="Times New Roman" w:cs="Times New Roman"/>
      <w:noProof/>
      <w:sz w:val="16"/>
      <w:szCs w:val="16"/>
    </w:rPr>
  </w:style>
  <w:style w:type="paragraph" w:customStyle="1" w:styleId="Keywords">
    <w:name w:val="Keywords"/>
    <w:basedOn w:val="Abstract"/>
    <w:qFormat/>
    <w:rsid w:val="0047692A"/>
    <w:pPr>
      <w:spacing w:after="120"/>
      <w:ind w:firstLine="274"/>
    </w:pPr>
    <w:rPr>
      <w:i/>
    </w:rPr>
  </w:style>
  <w:style w:type="paragraph" w:styleId="Caption">
    <w:name w:val="caption"/>
    <w:basedOn w:val="Normal"/>
    <w:next w:val="Normal"/>
    <w:uiPriority w:val="35"/>
    <w:unhideWhenUsed/>
    <w:qFormat/>
    <w:rsid w:val="0047692A"/>
    <w:pPr>
      <w:widowControl/>
      <w:autoSpaceDE/>
      <w:autoSpaceDN/>
      <w:jc w:val="center"/>
    </w:pPr>
    <w:rPr>
      <w:rFonts w:ascii="Times New Roman" w:eastAsia="SimSun" w:hAnsi="Times New Roman" w:cs="Times New Roman"/>
      <w:b/>
      <w:bCs/>
      <w:sz w:val="20"/>
      <w:szCs w:val="20"/>
    </w:rPr>
  </w:style>
  <w:style w:type="character" w:styleId="UnresolvedMention">
    <w:name w:val="Unresolved Mention"/>
    <w:basedOn w:val="DefaultParagraphFont"/>
    <w:uiPriority w:val="99"/>
    <w:semiHidden/>
    <w:unhideWhenUsed/>
    <w:rsid w:val="00991C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46577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zehri70@gmail.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houkat.mahar@salu.edu.pk"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Irfan.lashari@salu.edu.pk" TargetMode="External"/><Relationship Id="rId4" Type="http://schemas.openxmlformats.org/officeDocument/2006/relationships/settings" Target="settings.xml"/><Relationship Id="rId9" Type="http://schemas.openxmlformats.org/officeDocument/2006/relationships/hyperlink" Target="mailto:nasim.ahmed01@gmail.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1.wmf"/><Relationship Id="rId2" Type="http://schemas.openxmlformats.org/officeDocument/2006/relationships/hyperlink" Target="http://amresearchreview.com/index.php/Journal/about" TargetMode="External"/><Relationship Id="rId1" Type="http://schemas.openxmlformats.org/officeDocument/2006/relationships/hyperlink" Target="http://amresearchreview.com/index.php/Journal/about" TargetMode="External"/><Relationship Id="rId4" Type="http://schemas.openxmlformats.org/officeDocument/2006/relationships/image" Target="media/image2.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3896</Words>
  <Characters>22213</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Abdur Rahman</cp:lastModifiedBy>
  <cp:revision>3</cp:revision>
  <dcterms:created xsi:type="dcterms:W3CDTF">2026-04-23T12:48:00Z</dcterms:created>
  <dcterms:modified xsi:type="dcterms:W3CDTF">2026-04-23T12:48:00Z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1033-12.2.0.22222</vt:lpwstr>
  </property>
  <property fmtid="{D5CDD505-2E9C-101B-9397-08002B2CF9AE}" pid="3" name="ICV">
    <vt:lpwstr>AF4631CEED8443AD8FD256F67FABE4F0_13</vt:lpwstr>
  </property>
</Properties>
</file>